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wmf" ContentType="application/x-msmetafile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0E8DCA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ДОСЛІДЖЕННЯ ОБЕРТАННЯ  НЕВ’ЯЗКОЇ  ВИХРОВОЇ ТРУБКИ</w:t>
      </w:r>
    </w:p>
    <w:p>
      <w:pPr>
        <w:tabs>
          <w:tab w:val="left" w:pos="9631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Наукові керівники — кафедра теоретичної загальної та нетрадиційної енергетики, </w:t>
      </w:r>
    </w:p>
    <w:p>
      <w:pPr>
        <w:tabs>
          <w:tab w:val="left" w:pos="9631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доктор технічних наук, професор Никульшин В.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Р., кандидат технічних наук, </w:t>
      </w:r>
    </w:p>
    <w:p>
      <w:pPr>
        <w:tabs>
          <w:tab w:val="left" w:pos="9631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доцент Бударін В.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О., кафедра теплових електростанцій та енергозберігаючих технологій, доктор технічних наук, професор Денисова А.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Є.;</w:t>
      </w:r>
    </w:p>
    <w:p>
      <w:pPr>
        <w:pStyle w:val="P1"/>
        <w:widowControl w:val="0"/>
        <w:spacing w:before="0" w:after="0" w:beforeAutospacing="0" w:afterAutospacing="0"/>
        <w:jc w:val="center"/>
      </w:pPr>
      <w:r>
        <w:rPr>
          <w:color w:val="000000"/>
        </w:rPr>
        <w:t>магістри — Геращенко С.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t>., Саломаха Я.</w:t>
      </w:r>
      <w:r>
        <w:t xml:space="preserve"> </w:t>
      </w:r>
      <w:r>
        <w:t>О.</w:t>
      </w:r>
    </w:p>
    <w:p>
      <w:pPr>
        <w:tabs>
          <w:tab w:val="left" w:pos="9631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tabs>
          <w:tab w:val="left" w:pos="9631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Научные руководители — кафедра теоретической общей и нетрадиционной энергетики, доктор технических наук, профессор Никульшин В.Р.; кандидат технических наук, </w:t>
      </w:r>
    </w:p>
    <w:p>
      <w:pPr>
        <w:tabs>
          <w:tab w:val="left" w:pos="9631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доцент  Бударин В.А</w:t>
      </w:r>
      <w:r>
        <w:rPr>
          <w:rFonts w:ascii="Times New Roman" w:hAnsi="Times New Roman"/>
          <w:sz w:val="24"/>
        </w:rPr>
        <w:t>.; кафедра тепловых электростанций и энергосберегающих технологий, доктор технических наук, профессор Денисова А.Е.;</w:t>
      </w:r>
    </w:p>
    <w:p>
      <w:pPr>
        <w:pStyle w:val="P1"/>
        <w:widowControl w:val="0"/>
        <w:spacing w:before="0" w:after="0" w:beforeAutospacing="0" w:afterAutospacing="0"/>
        <w:jc w:val="center"/>
      </w:pPr>
      <w:r>
        <w:t xml:space="preserve">магистры — </w:t>
      </w:r>
      <w:r>
        <w:rPr>
          <w:color w:val="000000"/>
        </w:rPr>
        <w:t>Геращенко С.О</w:t>
      </w:r>
      <w:r>
        <w:t>., Саломаха Я.О.</w:t>
      </w:r>
    </w:p>
    <w:p>
      <w:pPr>
        <w:tabs>
          <w:tab w:val="left" w:pos="9631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pStyle w:val="P2"/>
        <w:spacing w:lineRule="auto" w:line="276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Supervisors — Department of Theoretical General and Non-conventional Power Engineering, Doctor of Technical Sciences, Professor Nikulshin V.R.; PhD, As. Prof.  Budarin V.A.;</w:t>
      </w:r>
    </w:p>
    <w:p>
      <w:pPr>
        <w:pStyle w:val="P1"/>
        <w:widowControl w:val="0"/>
        <w:spacing w:before="0" w:after="0" w:beforeAutospacing="0" w:afterAutospacing="0"/>
        <w:jc w:val="center"/>
        <w:rPr>
          <w:b w:val="1"/>
          <w:color w:val="000000"/>
          <w:sz w:val="28"/>
        </w:rPr>
      </w:pPr>
      <w:r>
        <w:t xml:space="preserve">Department of Thermal Power Plants and Energy-Saving Technologies, Doctor of Technical Sciences, Professor Denisova A.E.; мasters students —Gerashenko C.O., Calomaha  I. O.</w:t>
      </w:r>
    </w:p>
    <w:p>
      <w:pPr>
        <w:tabs>
          <w:tab w:val="left" w:pos="9631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pStyle w:val="P2"/>
        <w:spacing w:lineRule="auto" w:line="24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Анотація.</w:t>
      </w:r>
      <w:r>
        <w:rPr>
          <w:rFonts w:ascii="Times New Roman" w:hAnsi="Times New Roman"/>
          <w:sz w:val="24"/>
        </w:rPr>
        <w:t xml:space="preserve"> Наведена модель дослідження обертання вихрової труби.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Аннотация.  </w:t>
      </w:r>
      <w:r>
        <w:rPr>
          <w:rFonts w:ascii="Times New Roman" w:hAnsi="Times New Roman"/>
          <w:sz w:val="24"/>
        </w:rPr>
        <w:t>Приведена модель исследования вращения вихревой трубки.</w:t>
      </w:r>
    </w:p>
    <w:p>
      <w:pPr>
        <w:pStyle w:val="P6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Abstract. </w:t>
      </w:r>
      <w:r>
        <w:rPr>
          <w:rFonts w:ascii="Times New Roman" w:hAnsi="Times New Roman"/>
          <w:sz w:val="24"/>
        </w:rPr>
        <w:t>A model for studying the rotation of a vortex tube is presented.</w:t>
      </w:r>
    </w:p>
    <w:p>
      <w:pPr>
        <w:pStyle w:val="P6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Ключові слова</w:t>
      </w:r>
      <w:r>
        <w:rPr>
          <w:rFonts w:ascii="Times New Roman" w:hAnsi="Times New Roman"/>
          <w:sz w:val="24"/>
        </w:rPr>
        <w:t>: обертання, вихрова труба, модель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Ключевые слова: </w:t>
      </w:r>
      <w:r>
        <w:rPr>
          <w:rFonts w:ascii="Times New Roman" w:hAnsi="Times New Roman"/>
          <w:sz w:val="24"/>
        </w:rPr>
        <w:t xml:space="preserve"> вращение, вихревая труба, модель</w:t>
      </w:r>
    </w:p>
    <w:p>
      <w:pPr>
        <w:pStyle w:val="P6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Key words: </w:t>
      </w:r>
      <w:r>
        <w:rPr>
          <w:rFonts w:ascii="Times New Roman" w:hAnsi="Times New Roman"/>
          <w:sz w:val="24"/>
        </w:rPr>
        <w:t>rotation, vortex tube, model</w:t>
      </w:r>
    </w:p>
    <w:p>
      <w:pPr>
        <w:spacing w:lineRule="auto" w:line="240" w:after="0" w:beforeAutospacing="0" w:afterAutospacing="0"/>
        <w:ind w:firstLine="709"/>
        <w:contextualSpacing w:val="1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>
      <w:pPr>
        <w:spacing w:lineRule="auto" w:line="240" w:after="0" w:beforeAutospacing="0" w:afterAutospacing="0"/>
        <w:ind w:firstLine="709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 конвективному теплообміні та механіці рідини  існує течія, яка містить циліндричне квазітверде ядро (рис. 1) [1, 2]. Така течія не вимагає наявності твердої стінки і вплив в'язкого тертя є мінімальним. Це дозволяє отримати високі швидкості обертання за відносно невеликої механічної потужності.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Таку течію доцільно використовувати для відцентрової сепарації або інтенсифікації теплообміну. Помічено, що така трубка стискає хмару вологої пари над окропом, а також хмару аерозолю. Таку властивсть доцільно викоростовувати в екологічному обладнанні.</w:t>
      </w:r>
    </w:p>
    <w:p>
      <w:pPr>
        <w:spacing w:lineRule="auto" w:line="276" w:after="0" w:beforeAutospacing="0" w:afterAutospacing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noProof w:val="1"/>
          <w:sz w:val="24"/>
        </w:rPr>
        <w:drawing>
          <wp:anchor xmlns:wp="http://schemas.openxmlformats.org/drawingml/2006/wordprocessingDrawing" simplePos="0" allowOverlap="1" behindDoc="0" layoutInCell="1" locked="0" relativeHeight="1" distL="114300" distR="114300">
            <wp:simplePos x="0" y="0"/>
            <wp:positionH relativeFrom="column">
              <wp:posOffset>28575</wp:posOffset>
            </wp:positionH>
            <wp:positionV relativeFrom="paragraph">
              <wp:posOffset>31115</wp:posOffset>
            </wp:positionV>
            <wp:extent cx="1330325" cy="219456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21945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spacing w:lineRule="auto" w:line="276" w:after="0" w:beforeAutospacing="0" w:afterAutospacing="0"/>
        <w:ind w:firstLine="567"/>
        <w:rPr>
          <w:rFonts w:ascii="Times New Roman" w:hAnsi="Times New Roman"/>
          <w:sz w:val="24"/>
        </w:rPr>
      </w:pPr>
    </w:p>
    <w:p>
      <w:pPr>
        <w:spacing w:lineRule="auto" w:line="276" w:after="0" w:beforeAutospacing="0" w:afterAutospacing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Рис.1. Димова вихрова трубка після комп'ютерної обробки.</w:t>
      </w:r>
    </w:p>
    <w:p>
      <w:pPr>
        <w:spacing w:lineRule="auto" w:line="276" w:after="0" w:beforeAutospacing="0" w:afterAutospacing="0"/>
        <w:ind w:firstLine="567"/>
        <w:rPr>
          <w:rFonts w:ascii="Times New Roman" w:hAnsi="Times New Roman"/>
          <w:sz w:val="24"/>
        </w:rPr>
      </w:pPr>
    </w:p>
    <w:p>
      <w:pPr>
        <w:spacing w:lineRule="auto" w:line="276" w:after="0" w:beforeAutospacing="0" w:afterAutospacing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Оскільки ядро обертається як тверде тіло, можна використовувати рівняння руху з лінійної теорії пружності, яке має вигляд [3]: 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567"/>
        <w:jc w:val="right"/>
        <w:rPr>
          <w:rFonts w:ascii="Times New Roman" w:hAnsi="Times New Roman"/>
          <w:sz w:val="24"/>
        </w:rPr>
      </w:pPr>
      <w:r>
        <w:drawing>
          <wp:inline xmlns:wp="http://schemas.openxmlformats.org/drawingml/2006/wordprocessingDrawing">
            <wp:extent cx="1495425" cy="39370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393700"/>
                    </a:xfrm>
                    <a:prstGeom prst="rect"/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,                                    (1)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  </w:t>
      </w:r>
      <w:r>
        <w:rPr>
          <w:rFonts w:ascii="Times New Roman" w:hAnsi="Times New Roman"/>
          <w:i w:val="1"/>
          <w:sz w:val="24"/>
        </w:rPr>
        <w:t></w:t>
      </w:r>
      <w:r>
        <w:rPr>
          <w:rFonts w:ascii="Times New Roman" w:hAnsi="Times New Roman"/>
          <w:sz w:val="24"/>
        </w:rPr>
        <w:t xml:space="preserve"> та </w:t>
      </w:r>
      <w:r>
        <w:rPr>
          <w:rFonts w:ascii="Times New Roman" w:hAnsi="Times New Roman"/>
          <w:i w:val="1"/>
          <w:sz w:val="24"/>
        </w:rPr>
        <w:t></w:t>
      </w:r>
      <w:r>
        <w:rPr>
          <w:rFonts w:ascii="Times New Roman" w:hAnsi="Times New Roman"/>
          <w:i w:val="1"/>
          <w:sz w:val="24"/>
          <w:vertAlign w:val="subscript"/>
        </w:rPr>
        <w:t></w:t>
      </w:r>
      <w:r>
        <w:rPr>
          <w:rFonts w:ascii="Times New Roman" w:hAnsi="Times New Roman"/>
          <w:sz w:val="24"/>
        </w:rPr>
        <w:t xml:space="preserve">- радіальна та окружна напруга відповідно,  - щільність стінки ядра, </w:t>
      </w:r>
      <w:r>
        <w:rPr>
          <w:rFonts w:ascii="Times New Roman" w:hAnsi="Times New Roman"/>
          <w:i w:val="1"/>
          <w:sz w:val="24"/>
        </w:rPr>
        <w:t></w:t>
      </w:r>
      <w:r>
        <w:rPr>
          <w:rFonts w:ascii="Times New Roman" w:hAnsi="Times New Roman"/>
          <w:sz w:val="24"/>
        </w:rPr>
        <w:t xml:space="preserve"> - кутова швидкість.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вирішення рівняння (1) використовувалася теорема суперпозиції рішень і в результаті знайдено розподіл радіальної та окружної напруги </w:t>
      </w:r>
      <w:r>
        <w:rPr>
          <w:rFonts w:ascii="Times New Roman" w:hAnsi="Times New Roman"/>
          <w:i w:val="1"/>
          <w:sz w:val="24"/>
        </w:rPr>
        <w:t>(ω, r)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i w:val="1"/>
          <w:sz w:val="24"/>
        </w:rPr>
        <w:t></w:t>
      </w:r>
      <w:r>
        <w:rPr>
          <w:rFonts w:ascii="Times New Roman" w:hAnsi="Times New Roman"/>
          <w:i w:val="1"/>
          <w:sz w:val="24"/>
          <w:vertAlign w:val="subscript"/>
        </w:rPr>
        <w:t></w:t>
      </w:r>
      <w:r>
        <w:rPr>
          <w:rFonts w:ascii="Times New Roman" w:hAnsi="Times New Roman"/>
          <w:i w:val="1"/>
          <w:sz w:val="24"/>
        </w:rPr>
        <w:t>(ω, r)</w:t>
      </w:r>
      <w:r>
        <w:rPr>
          <w:rFonts w:ascii="Times New Roman" w:hAnsi="Times New Roman"/>
          <w:sz w:val="24"/>
        </w:rPr>
        <w:t xml:space="preserve">. 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Аналіз знайдених рішень показав, що вони суттєво відрізняються від відомого рішення Ейлера, яке не враховує існування порожнини усередині течії. З фізичної точки зору рівняння (1) характеризує баланс сил в яке не входить реакція стінки, тобто така течія існує в неосяжному навколишньому середовищі. 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Література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1.  Буд</w:t>
      </w:r>
      <w:r>
        <w:rPr>
          <w:rFonts w:ascii="Times New Roman" w:hAnsi="Times New Roman"/>
          <w:b w:val="0"/>
          <w:sz w:val="24"/>
        </w:rPr>
        <w:t>арин В.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А. Analyzing the rotation of an inviscid vortex tube </w:t>
      </w:r>
      <w:r>
        <w:rPr>
          <w:rFonts w:ascii="Times New Roman" w:hAnsi="Times New Roman"/>
          <w:b w:val="0"/>
          <w:sz w:val="24"/>
        </w:rPr>
        <w:t>//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Восточно-европейский журнал передовых технологийvol. </w:t>
      </w:r>
      <w:r>
        <w:rPr>
          <w:rFonts w:ascii="Times New Roman" w:hAnsi="Times New Roman"/>
          <w:b w:val="0"/>
          <w:sz w:val="24"/>
        </w:rPr>
        <w:t>Vol</w:t>
      </w:r>
      <w:r>
        <w:rPr>
          <w:rFonts w:ascii="Times New Roman" w:hAnsi="Times New Roman"/>
          <w:b w:val="0"/>
          <w:sz w:val="24"/>
        </w:rPr>
        <w:t xml:space="preserve">. </w:t>
      </w:r>
      <w:r>
        <w:rPr>
          <w:rFonts w:ascii="Times New Roman" w:hAnsi="Times New Roman"/>
          <w:b w:val="0"/>
          <w:sz w:val="24"/>
        </w:rPr>
        <w:t>5. No 7(77), (2015), С.20-24.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2. Genick, B.-M. (2013). Basic of Fluid Mechanics. Chicago, 604 p.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 xml:space="preserve">3.  Feodosiev, V.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I. (1999). Strength of material</w:t>
      </w:r>
      <w:r>
        <w:rPr>
          <w:rFonts w:ascii="Times New Roman" w:hAnsi="Times New Roman"/>
          <w:sz w:val="24"/>
        </w:rPr>
        <w:t xml:space="preserve">s .M., MGTU, 592.,               </w:t>
      </w:r>
    </w:p>
    <w:sectPr>
      <w:headerReference xmlns:r="http://schemas.openxmlformats.org/officeDocument/2006/relationships" w:type="default" r:id="RelHdr1"/>
      <w:type w:val="nextPage"/>
      <w:pgSz w:w="11906" w:h="16838" w:code="9"/>
      <w:pgMar w:left="1134" w:right="1134" w:top="1134" w:bottom="1134" w:header="709" w:footer="709" w:gutter="0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tabs>
        <w:tab w:val="left" w:pos="690" w:leader="none"/>
        <w:tab w:val="center" w:pos="4677" w:leader="none"/>
        <w:tab w:val="right" w:pos="9355" w:leader="none"/>
      </w:tabs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Тези доповідей 57-ої конференції молодих дослідників «Сучасні інформаційні технології та телекомунікаційні мережі» //Одеса: НУОП, 2022, вип. 57</w:t>
    </w:r>
  </w:p>
  <w:p>
    <w:pPr>
      <w:pStyle w:val="P4"/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59" w:after="160" w:beforeAutospacing="0" w:afterAutospacing="0"/>
    </w:pPr>
    <w:rPr/>
  </w:style>
  <w:style w:type="paragraph" w:styleId="P1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2">
    <w:name w:val="Body Text"/>
    <w:basedOn w:val="P0"/>
    <w:link w:val="C4"/>
    <w:pPr>
      <w:widowControl w:val="0"/>
      <w:shd w:val="clear" w:fill="FFFFFF"/>
      <w:spacing w:lineRule="exact" w:line="346" w:after="0" w:beforeAutospacing="0" w:afterAutospacing="0"/>
      <w:jc w:val="both"/>
    </w:pPr>
    <w:rPr/>
  </w:style>
  <w:style w:type="paragraph" w:styleId="P3">
    <w:name w:val="Balloon Text"/>
    <w:basedOn w:val="P0"/>
    <w:link w:val="C6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paragraph" w:styleId="P4">
    <w:name w:val="header"/>
    <w:basedOn w:val="P0"/>
    <w:link w:val="C7"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paragraph" w:styleId="P5">
    <w:name w:val="footer"/>
    <w:basedOn w:val="P0"/>
    <w:link w:val="C8"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paragraph" w:styleId="P6">
    <w:name w:val="HTML Preformatted"/>
    <w:basedOn w:val="P0"/>
    <w:link w:val="C9"/>
    <w:semiHidden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after="0" w:beforeAutospacing="0" w:afterAutospacing="0"/>
    </w:pPr>
    <w:rPr>
      <w:rFonts w:ascii="Courier New" w:hAnsi="Courier New"/>
      <w:sz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notranslate"/>
    <w:basedOn w:val="C0"/>
    <w:rPr/>
  </w:style>
  <w:style w:type="character" w:styleId="C4">
    <w:name w:val="Основной текст Знак1"/>
    <w:link w:val="P2"/>
    <w:rPr/>
  </w:style>
  <w:style w:type="character" w:styleId="C5">
    <w:name w:val="Основной текст Знак"/>
    <w:basedOn w:val="C0"/>
    <w:semiHidden/>
    <w:rPr/>
  </w:style>
  <w:style w:type="character" w:styleId="C6">
    <w:name w:val="Текст выноски Знак"/>
    <w:basedOn w:val="C0"/>
    <w:link w:val="P3"/>
    <w:semiHidden/>
    <w:rPr>
      <w:rFonts w:ascii="Tahoma" w:hAnsi="Tahoma"/>
      <w:sz w:val="16"/>
    </w:rPr>
  </w:style>
  <w:style w:type="character" w:styleId="C7">
    <w:name w:val="Верхний колонтитул Знак"/>
    <w:basedOn w:val="C0"/>
    <w:link w:val="P4"/>
    <w:rPr/>
  </w:style>
  <w:style w:type="character" w:styleId="C8">
    <w:name w:val="Нижний колонтитул Знак"/>
    <w:basedOn w:val="C0"/>
    <w:link w:val="P5"/>
    <w:rPr/>
  </w:style>
  <w:style w:type="character" w:styleId="C9">
    <w:name w:val="Стандартный HTML Знак"/>
    <w:basedOn w:val="C0"/>
    <w:link w:val="P6"/>
    <w:semiHidden/>
    <w:rPr>
      <w:rFonts w:ascii="Courier New" w:hAnsi="Courier New"/>
      <w:sz w:val="20"/>
    </w:rPr>
  </w:style>
  <w:style w:type="character" w:styleId="C10">
    <w:name w:val="y2iqfc"/>
    <w:basedOn w:val="C0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wmf" /><Relationship Id="RelHdr1" Type="http://schemas.openxmlformats.org/officeDocument/2006/relationships/header" Target="head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