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485E82">
        <w:rPr>
          <w:rFonts w:ascii="Times New Roman" w:hAnsi="Times New Roman"/>
          <w:b/>
          <w:sz w:val="24"/>
          <w:szCs w:val="24"/>
          <w:lang w:val="uk-UA"/>
        </w:rPr>
        <w:t xml:space="preserve">ОЦІНЮВАННЯ ІНФРАСТРУКТУРНОЇ СПРОМОЖНОСТІ </w:t>
      </w:r>
      <w:r w:rsidRPr="00485E82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МІСЦЕВОГО САМОВРЯДУВАННЯ ЯК ФАКТОР СТІЙКОСТІ ГРОМАД В УМОВАХ 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485E82">
        <w:rPr>
          <w:rFonts w:ascii="Times New Roman" w:hAnsi="Times New Roman"/>
          <w:b/>
          <w:noProof/>
          <w:sz w:val="24"/>
          <w:szCs w:val="24"/>
          <w:lang w:val="uk-UA"/>
        </w:rPr>
        <w:t xml:space="preserve">ВОЄННОГО СТАНУ 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bdr w:val="none" w:sz="0" w:space="0" w:color="auto" w:frame="1"/>
          <w:lang w:val="uk-UA" w:eastAsia="ru-RU"/>
        </w:rPr>
      </w:pPr>
    </w:p>
    <w:p w:rsidR="00D73998" w:rsidRPr="00485E82" w:rsidRDefault="00D73998" w:rsidP="005F1E85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485E82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ASSESSMENT OF THE INFRASTRUCTURE CAPACITY OF LOCAL GOVERNMENT AS A FACTOR OF COMMUNITY RESILIENCE IN THE CONDITIONS </w:t>
      </w:r>
    </w:p>
    <w:p w:rsidR="00D73998" w:rsidRPr="00485E82" w:rsidRDefault="00D73998" w:rsidP="005F1E85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485E82">
        <w:rPr>
          <w:rFonts w:ascii="Times New Roman" w:hAnsi="Times New Roman" w:cs="Times New Roman"/>
          <w:b/>
          <w:sz w:val="24"/>
          <w:szCs w:val="24"/>
          <w:lang w:val="uk-UA" w:eastAsia="en-US"/>
        </w:rPr>
        <w:t>OF MARITAL STATE</w:t>
      </w:r>
    </w:p>
    <w:p w:rsidR="00D73998" w:rsidRPr="00485E82" w:rsidRDefault="00D73998" w:rsidP="005F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D73998" w:rsidRPr="00485E82" w:rsidRDefault="00D73998" w:rsidP="005F1E85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lang w:val="uk-UA"/>
        </w:rPr>
        <w:t>Нау</w:t>
      </w:r>
      <w:r w:rsidRPr="00485E82">
        <w:rPr>
          <w:rFonts w:ascii="Times New Roman" w:hAnsi="Times New Roman"/>
          <w:sz w:val="24"/>
          <w:shd w:val="clear" w:color="auto" w:fill="FFFFFF"/>
          <w:lang w:val="uk-UA"/>
        </w:rPr>
        <w:t xml:space="preserve">ковий керівник: к. ю. н, доц. кафедри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доцент кафедри публічного </w:t>
      </w:r>
    </w:p>
    <w:p w:rsidR="00D73998" w:rsidRPr="00485E82" w:rsidRDefault="00D73998" w:rsidP="005F1E8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управління та регіоналістики Національний університет «Одеська політехніка»</w:t>
      </w:r>
    </w:p>
    <w:p w:rsidR="00D73998" w:rsidRPr="00485E82" w:rsidRDefault="00D73998" w:rsidP="005F1E8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hd w:val="clear" w:color="auto" w:fill="FFFFFF"/>
          <w:lang w:val="uk-UA"/>
        </w:rPr>
        <w:t xml:space="preserve">Дуліна Оксана Василівна </w:t>
      </w:r>
    </w:p>
    <w:p w:rsidR="00D73998" w:rsidRPr="00485E82" w:rsidRDefault="00D73998" w:rsidP="005F1E85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hd w:val="clear" w:color="auto" w:fill="FFFFFF"/>
          <w:lang w:val="uk-UA"/>
        </w:rPr>
        <w:t xml:space="preserve">аспірант кафедри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доцент кафедри публічного </w:t>
      </w:r>
    </w:p>
    <w:p w:rsidR="00D73998" w:rsidRPr="00485E82" w:rsidRDefault="00D73998" w:rsidP="005F1E8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управління та регіоналістики Національний університет «Одеська політехніка»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  <w:lang w:val="uk-UA" w:eastAsia="ru-RU"/>
        </w:rPr>
      </w:pPr>
      <w:r w:rsidRPr="00485E82"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  <w:lang w:val="uk-UA" w:eastAsia="ru-RU"/>
        </w:rPr>
        <w:t>Свічинський Віталій Сергійович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en-US"/>
        </w:rPr>
        <w:t>Dulina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en-US"/>
        </w:rPr>
        <w:t>Oksana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en-US"/>
        </w:rPr>
        <w:t>Vasylivna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bdr w:val="none" w:sz="0" w:space="0" w:color="auto" w:frame="1"/>
          <w:lang w:val="uk-UA" w:eastAsia="ru-RU"/>
        </w:rPr>
      </w:pPr>
      <w:r w:rsidRPr="00485E82">
        <w:rPr>
          <w:rFonts w:ascii="Times New Roman" w:hAnsi="Times New Roman"/>
          <w:iCs/>
          <w:sz w:val="24"/>
          <w:szCs w:val="24"/>
          <w:lang w:val="en-GB"/>
        </w:rPr>
        <w:t>PhD in Law, Associate Professor of the Public Administration and Regional Studies Chair,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smartTag w:uri="urn:schemas-microsoft-com:office:smarttags" w:element="place"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Odes</w:t>
          </w:r>
          <w:r w:rsidRPr="00485E82">
            <w:rPr>
              <w:rFonts w:ascii="Times New Roman" w:hAnsi="Times New Roman"/>
              <w:sz w:val="24"/>
              <w:szCs w:val="24"/>
              <w:lang w:val="en-US"/>
            </w:rPr>
            <w:t>s</w:t>
          </w:r>
          <w:r w:rsidRPr="00485E82">
            <w:rPr>
              <w:rFonts w:ascii="Times New Roman" w:hAnsi="Times New Roman"/>
              <w:sz w:val="24"/>
              <w:szCs w:val="24"/>
              <w:lang/>
            </w:rPr>
            <w:t>a</w:t>
          </w:r>
        </w:smartTag>
        <w:r w:rsidRPr="00485E82">
          <w:rPr>
            <w:rFonts w:ascii="Times New Roman" w:hAnsi="Times New Roman"/>
            <w:sz w:val="24"/>
            <w:szCs w:val="24"/>
            <w:lang/>
          </w:rPr>
          <w:t xml:space="preserve"> </w:t>
        </w:r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Polytechnic</w:t>
          </w:r>
        </w:smartTag>
        <w:r w:rsidRPr="00485E82">
          <w:rPr>
            <w:rFonts w:ascii="Times New Roman" w:hAnsi="Times New Roman"/>
            <w:sz w:val="24"/>
            <w:szCs w:val="24"/>
            <w:lang/>
          </w:rPr>
          <w:t xml:space="preserve"> </w:t>
        </w:r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National</w:t>
          </w:r>
        </w:smartTag>
        <w:r w:rsidRPr="00485E82">
          <w:rPr>
            <w:rFonts w:ascii="Times New Roman" w:hAnsi="Times New Roman"/>
            <w:sz w:val="24"/>
            <w:szCs w:val="24"/>
            <w:lang/>
          </w:rPr>
          <w:t xml:space="preserve"> </w:t>
        </w:r>
        <w:smartTag w:uri="urn:schemas-microsoft-com:office:smarttags" w:element="PlaceType">
          <w:r w:rsidRPr="00485E82">
            <w:rPr>
              <w:rFonts w:ascii="Times New Roman" w:hAnsi="Times New Roman"/>
              <w:sz w:val="24"/>
              <w:szCs w:val="24"/>
              <w:lang/>
            </w:rPr>
            <w:t>University</w:t>
          </w:r>
        </w:smartTag>
      </w:smartTag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bCs/>
          <w:kern w:val="36"/>
          <w:sz w:val="24"/>
          <w:szCs w:val="24"/>
          <w:lang w:val="en-US"/>
        </w:rPr>
        <w:t>Svichynskyi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bCs/>
          <w:kern w:val="36"/>
          <w:sz w:val="24"/>
          <w:szCs w:val="24"/>
          <w:lang w:val="en-US"/>
        </w:rPr>
        <w:t>Vitalii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85E82">
        <w:rPr>
          <w:rStyle w:val="y2iqfc"/>
          <w:rFonts w:ascii="Times New Roman" w:hAnsi="Times New Roman"/>
          <w:sz w:val="24"/>
          <w:szCs w:val="24"/>
          <w:lang/>
        </w:rPr>
        <w:t>Serhiyovych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en-US"/>
        </w:rPr>
        <w:t>Postgraduate of Public Administration and Regional Studies Chair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smartTag w:uri="urn:schemas-microsoft-com:office:smarttags" w:element="place"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Odes</w:t>
          </w:r>
          <w:r w:rsidRPr="00485E82">
            <w:rPr>
              <w:rFonts w:ascii="Times New Roman" w:hAnsi="Times New Roman"/>
              <w:sz w:val="24"/>
              <w:szCs w:val="24"/>
              <w:lang w:val="en-US"/>
            </w:rPr>
            <w:t>s</w:t>
          </w:r>
          <w:r w:rsidRPr="00485E82">
            <w:rPr>
              <w:rFonts w:ascii="Times New Roman" w:hAnsi="Times New Roman"/>
              <w:sz w:val="24"/>
              <w:szCs w:val="24"/>
              <w:lang/>
            </w:rPr>
            <w:t>a</w:t>
          </w:r>
        </w:smartTag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Polytechnic</w:t>
          </w:r>
        </w:smartTag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smartTag w:uri="urn:schemas-microsoft-com:office:smarttags" w:element="PlaceName">
          <w:r w:rsidRPr="00485E82">
            <w:rPr>
              <w:rFonts w:ascii="Times New Roman" w:hAnsi="Times New Roman"/>
              <w:sz w:val="24"/>
              <w:szCs w:val="24"/>
              <w:lang/>
            </w:rPr>
            <w:t>National</w:t>
          </w:r>
        </w:smartTag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smartTag w:uri="urn:schemas-microsoft-com:office:smarttags" w:element="PlaceType">
          <w:r w:rsidRPr="00485E82">
            <w:rPr>
              <w:rFonts w:ascii="Times New Roman" w:hAnsi="Times New Roman"/>
              <w:sz w:val="24"/>
              <w:szCs w:val="24"/>
              <w:lang/>
            </w:rPr>
            <w:t>University</w:t>
          </w:r>
        </w:smartTag>
      </w:smartTag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73998" w:rsidRPr="00485E82" w:rsidRDefault="00D73998" w:rsidP="005F1E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b/>
          <w:noProof/>
          <w:sz w:val="24"/>
          <w:szCs w:val="24"/>
          <w:lang w:val="uk-UA"/>
        </w:rPr>
        <w:t>Анотація: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Досліджено проблеми у сфері оцінювання інфраструктурної спроможності місцевого самоврядування, що постали у зв’язку з впровадженням в Україні воєнного стану. Проаналізовано особливості правових дефініцій, норм правового регулювання та процедур оцінювання завданої інфраструктурі громад шкоди в умовах воєнного стану, проблеми, що виникають при оцінці інфраструктурної спроможності громад в умовах збройної агресії. </w:t>
      </w:r>
    </w:p>
    <w:p w:rsidR="00D73998" w:rsidRPr="00485E82" w:rsidRDefault="00D73998" w:rsidP="005F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b/>
          <w:sz w:val="24"/>
          <w:szCs w:val="24"/>
          <w:lang w:val="uk-UA"/>
        </w:rPr>
        <w:t xml:space="preserve">Ключові слова: </w:t>
      </w:r>
      <w:r w:rsidRPr="00485E82">
        <w:rPr>
          <w:rFonts w:ascii="Times New Roman" w:hAnsi="Times New Roman"/>
          <w:sz w:val="24"/>
          <w:szCs w:val="24"/>
          <w:lang w:val="uk-UA"/>
        </w:rPr>
        <w:t>інфраструктура, спроможність, оцінювання, стійкість, територіальна громада, збитки.</w:t>
      </w:r>
    </w:p>
    <w:p w:rsidR="00D73998" w:rsidRPr="00485E82" w:rsidRDefault="00D73998" w:rsidP="005F1E8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E82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en-US"/>
        </w:rPr>
        <w:t>A</w:t>
      </w:r>
      <w:r w:rsidRPr="00485E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nnotation: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Style w:val="y2iqfc"/>
          <w:rFonts w:ascii="Times New Roman" w:hAnsi="Times New Roman"/>
          <w:sz w:val="24"/>
          <w:szCs w:val="24"/>
          <w:shd w:val="clear" w:color="auto" w:fill="FFFFFF"/>
          <w:lang/>
        </w:rPr>
        <w:t xml:space="preserve">The problems in the field of assessing the infrastructural capacity of local self-government, which arose in connection with the introduction of martial law in </w:t>
      </w:r>
      <w:smartTag w:uri="urn:schemas-microsoft-com:office:smarttags" w:element="country-region">
        <w:r w:rsidRPr="00485E82">
          <w:rPr>
            <w:rStyle w:val="y2iqfc"/>
            <w:rFonts w:ascii="Times New Roman" w:hAnsi="Times New Roman"/>
            <w:sz w:val="24"/>
            <w:szCs w:val="24"/>
            <w:shd w:val="clear" w:color="auto" w:fill="FFFFFF"/>
            <w:lang/>
          </w:rPr>
          <w:t>Ukraine</w:t>
        </w:r>
      </w:smartTag>
      <w:r w:rsidRPr="00485E82">
        <w:rPr>
          <w:rStyle w:val="y2iqfc"/>
          <w:rFonts w:ascii="Times New Roman" w:hAnsi="Times New Roman"/>
          <w:sz w:val="24"/>
          <w:szCs w:val="24"/>
          <w:shd w:val="clear" w:color="auto" w:fill="FFFFFF"/>
          <w:lang/>
        </w:rPr>
        <w:t>, were studied. Peculiarities of legal definitions, normsof legal regulation and procedures for assessingdamage caused to the infrastructure of communities inconditions of martial law, problems that arise</w:t>
      </w:r>
      <w:r w:rsidRPr="00485E82">
        <w:rPr>
          <w:rStyle w:val="y2iqfc"/>
          <w:rFonts w:ascii="Times New Roman" w:hAnsi="Times New Roman"/>
          <w:sz w:val="24"/>
          <w:szCs w:val="24"/>
          <w:lang/>
        </w:rPr>
        <w:t xml:space="preserve"> when assessing the infrastructural capacity of communities in conditions of </w:t>
      </w:r>
      <w:r w:rsidRPr="00485E82">
        <w:rPr>
          <w:rStyle w:val="y2iqfc"/>
          <w:rFonts w:ascii="Times New Roman" w:hAnsi="Times New Roman"/>
          <w:sz w:val="24"/>
          <w:szCs w:val="24"/>
          <w:shd w:val="clear" w:color="auto" w:fill="FFFFFF"/>
          <w:lang/>
        </w:rPr>
        <w:t>armed aggression are</w:t>
      </w:r>
      <w:r w:rsidRPr="00485E82">
        <w:rPr>
          <w:rStyle w:val="y2iqfc"/>
          <w:rFonts w:ascii="Times New Roman" w:hAnsi="Times New Roman"/>
          <w:sz w:val="24"/>
          <w:szCs w:val="24"/>
          <w:lang/>
        </w:rPr>
        <w:t xml:space="preserve"> analyzed.</w:t>
      </w:r>
    </w:p>
    <w:p w:rsidR="00D73998" w:rsidRPr="00485E82" w:rsidRDefault="00D73998" w:rsidP="005F1E8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b/>
          <w:sz w:val="24"/>
          <w:shd w:val="clear" w:color="auto" w:fill="FFFFFF"/>
          <w:lang w:val="en-US"/>
        </w:rPr>
        <w:t>Keywords:</w:t>
      </w:r>
      <w:r>
        <w:rPr>
          <w:rFonts w:ascii="Times New Roman" w:hAnsi="Times New Roman"/>
          <w:b/>
          <w:sz w:val="24"/>
          <w:shd w:val="clear" w:color="auto" w:fill="FFFFFF"/>
          <w:lang w:val="uk-UA"/>
        </w:rPr>
        <w:t xml:space="preserve"> </w:t>
      </w:r>
      <w:r w:rsidRPr="00485E82">
        <w:rPr>
          <w:rStyle w:val="y2iqfc"/>
          <w:rFonts w:ascii="Times New Roman" w:hAnsi="Times New Roman"/>
          <w:sz w:val="24"/>
          <w:szCs w:val="24"/>
          <w:lang/>
        </w:rPr>
        <w:t>infrastructure, capacity, assessment, sustainability, territorial community, damages.</w:t>
      </w:r>
    </w:p>
    <w:p w:rsidR="00D73998" w:rsidRPr="00485E82" w:rsidRDefault="00D73998" w:rsidP="005F1E8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73998" w:rsidRPr="00485E82" w:rsidRDefault="00D73998" w:rsidP="002C57B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В результаті реформи децентралізації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головним суб’єктом місцевого самоврядування стають територіальні громади, якімають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485E82">
        <w:rPr>
          <w:rFonts w:ascii="Times New Roman" w:hAnsi="Times New Roman"/>
          <w:noProof/>
          <w:sz w:val="24"/>
          <w:szCs w:val="24"/>
          <w:lang w:val="uk-UA"/>
        </w:rPr>
        <w:t>інфраструктурну спроможність певних територій,</w:t>
      </w:r>
      <w:r w:rsidRPr="00485E82">
        <w:rPr>
          <w:rFonts w:ascii="Times New Roman" w:hAnsi="Times New Roman"/>
          <w:sz w:val="24"/>
          <w:szCs w:val="24"/>
          <w:lang w:val="uk-UA"/>
        </w:rPr>
        <w:t>включаючи розвиток соціальної, виробничої та адміністративної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інфраструктури. Правильне оцінювання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інфраструктурної спроможності громади сприяє ефективному розвитку її території та є важливим етапом формування стратегії розвитку громади. Оцінка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стану розвитку інфраструктури включає оцінювання якості доріг, водопостачання, зв’язку, енергопостачання, телеком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485E82">
        <w:rPr>
          <w:rFonts w:ascii="Times New Roman" w:hAnsi="Times New Roman"/>
          <w:sz w:val="24"/>
          <w:szCs w:val="24"/>
          <w:lang w:val="uk-UA"/>
        </w:rPr>
        <w:t>унікацій, інфраструктури освіти, культури та охорона здоров’я [1].</w:t>
      </w:r>
    </w:p>
    <w:p w:rsidR="00D73998" w:rsidRPr="00485E82" w:rsidRDefault="00D73998" w:rsidP="002C57B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Територіалізм, інфляція, втрата стійкості, цифрова трансформація, збої в ланцюжках поставок – це виклики, з якими стикається людство і поза межами України. Повномасштабна війна в Україні вивела в країні на перший план питання підтримки інфраструктури у країні – захисту та підтримки працездатності тих об’єктів, які не постраждали від війни, та відбудови тих, які були пошкоджені або зруйновані.</w:t>
      </w:r>
    </w:p>
    <w:p w:rsidR="00D73998" w:rsidRPr="00485E82" w:rsidRDefault="00D73998" w:rsidP="002C57B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bCs/>
          <w:sz w:val="24"/>
          <w:szCs w:val="24"/>
          <w:lang w:val="uk-UA"/>
        </w:rPr>
        <w:t>Аналіз нормативної бази засвідчив, що категорія «</w:t>
      </w:r>
      <w:r w:rsidRPr="00485E82">
        <w:rPr>
          <w:rFonts w:ascii="Times New Roman" w:hAnsi="Times New Roman"/>
          <w:sz w:val="24"/>
          <w:szCs w:val="24"/>
          <w:lang w:val="uk-UA"/>
        </w:rPr>
        <w:t>інфраструктурна спроможність місцевого самоврядування здійснювати визначені законом повноваження на відповідній території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в законодавстві відсутня, проте категорія «інфраструктура» та «спроможність» достатньо широко вживається на нормативному рівні, наприклад:</w:t>
      </w:r>
      <w:r w:rsidRPr="00485E82">
        <w:rPr>
          <w:rStyle w:val="rvts44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інфраструктурний соціальний об’єкт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 заклад освіти, культури, фізичної культури і спорту, охорони здоров’я, соціального захисту населення, дитячий заклад оздоровлення та відпочинку[2];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Style w:val="rvts44"/>
          <w:rFonts w:ascii="Times New Roman" w:hAnsi="Times New Roman"/>
          <w:sz w:val="24"/>
          <w:szCs w:val="24"/>
          <w:shd w:val="clear" w:color="auto" w:fill="FFFFFF"/>
          <w:lang w:val="uk-UA"/>
        </w:rPr>
        <w:t>інфраструктура об’єкта електроенергетики</w:t>
      </w:r>
      <w:r w:rsidRPr="00485E82">
        <w:rPr>
          <w:rStyle w:val="rvts44"/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–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об’єкти електроенергетики, у тому числі опори ліній електропередачі, електричні підстанції тощо, придатні для надання власником інфраструктури об’єкта доступу у користування замовнику на договірних засадах[3]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485E82">
        <w:rPr>
          <w:rStyle w:val="rvts44"/>
          <w:rFonts w:ascii="Times New Roman" w:hAnsi="Times New Roman"/>
          <w:sz w:val="24"/>
          <w:szCs w:val="24"/>
          <w:shd w:val="clear" w:color="auto" w:fill="FFFFFF"/>
          <w:lang w:val="uk-UA"/>
        </w:rPr>
        <w:t>інфраструктура об’єкта транспорту –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виробничо-технологічні комплекси і споруди авіаційного, автомобільного, залізничного, морського і річкового, трубопровідного транспорту, міського електротранспорту, що надаються або можуть надаватися власником інфраструктури об’єкта доступу у користування замовнику на договірних засадах[4].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Style w:val="rvts44"/>
          <w:rFonts w:ascii="Times New Roman" w:hAnsi="Times New Roman"/>
          <w:sz w:val="24"/>
          <w:szCs w:val="24"/>
          <w:shd w:val="clear" w:color="auto" w:fill="FFFFFF"/>
          <w:lang w:val="uk-UA"/>
        </w:rPr>
        <w:t>Спроможність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це характеристика, що передбачає наявність матеріальних, фінансових та інших ресурсів в обсягах, достатніх для ефективної реалізації завдань та функцій закладів охорони здоров'я для надання медичних послуг на рівні, передбаченому вимогами законодавства [5].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Style w:val="rvts44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Спроможність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 – це здатність виконувати завдання за призначенням за певних умов з використанням наявних ресурсів відповідно до визначених сценаріїв дій у межах повноважень та спосіб, що передбачені Конституцією та законами України [6]. </w:t>
      </w:r>
      <w:r w:rsidRPr="00485E82">
        <w:rPr>
          <w:rStyle w:val="rvts44"/>
          <w:rFonts w:ascii="Times New Roman" w:hAnsi="Times New Roman"/>
          <w:bCs/>
          <w:spacing w:val="-2"/>
          <w:sz w:val="24"/>
          <w:szCs w:val="24"/>
          <w:shd w:val="clear" w:color="auto" w:fill="FFFFFF"/>
          <w:lang w:val="uk-UA"/>
        </w:rPr>
        <w:t>Оцінювання спроможностей</w:t>
      </w:r>
      <w:r w:rsidRPr="00485E82">
        <w:rPr>
          <w:rFonts w:ascii="Times New Roman" w:hAnsi="Times New Roman"/>
          <w:spacing w:val="-2"/>
          <w:sz w:val="24"/>
          <w:szCs w:val="24"/>
          <w:shd w:val="clear" w:color="auto" w:fill="FFFFFF"/>
          <w:lang w:val="uk-UA"/>
        </w:rPr>
        <w:t> – це процедура порівняння наявних спроможностей з необхідними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майбутньому, виявлення недоліків (прогалин) у вимогах до спроможностей, встановлення нових чи уточнення існуючих вимог до них [7].</w:t>
      </w:r>
    </w:p>
    <w:p w:rsidR="00D73998" w:rsidRPr="00485E82" w:rsidRDefault="00D73998" w:rsidP="002C57B9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 xml:space="preserve">Наукові джерела, зокрема Енциклопедія державного управління (т. 5) визначає інфраструктуру (від лат. </w:t>
      </w:r>
      <w:r w:rsidRPr="00485E82">
        <w:rPr>
          <w:rFonts w:ascii="Times New Roman" w:hAnsi="Times New Roman"/>
          <w:i/>
          <w:iCs/>
          <w:sz w:val="24"/>
          <w:szCs w:val="24"/>
          <w:lang w:val="uk-UA"/>
        </w:rPr>
        <w:t>infra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– нижче, </w:t>
      </w:r>
      <w:r w:rsidRPr="00485E82">
        <w:rPr>
          <w:rFonts w:ascii="Times New Roman" w:hAnsi="Times New Roman"/>
          <w:i/>
          <w:iCs/>
          <w:sz w:val="24"/>
          <w:szCs w:val="24"/>
          <w:lang w:val="uk-UA"/>
        </w:rPr>
        <w:t>structura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– будова, розміщення) як сукупність споруд, будівель, систем і служб, необхідних для функціонування галузей матеріального виробництва та забезпечення умов життєдіяльності суспільства.</w:t>
      </w:r>
    </w:p>
    <w:p w:rsidR="00D73998" w:rsidRPr="00485E82" w:rsidRDefault="00D73998" w:rsidP="002C57B9">
      <w:pPr>
        <w:pStyle w:val="NormalWeb"/>
        <w:shd w:val="clear" w:color="auto" w:fill="FFFFFF"/>
        <w:spacing w:before="0" w:beforeAutospacing="0" w:after="0" w:afterAutospacing="0"/>
        <w:ind w:firstLine="714"/>
        <w:jc w:val="both"/>
        <w:rPr>
          <w:lang w:val="uk-UA"/>
        </w:rPr>
      </w:pPr>
      <w:r w:rsidRPr="00485E82">
        <w:rPr>
          <w:spacing w:val="-2"/>
          <w:lang w:val="uk-UA"/>
        </w:rPr>
        <w:t xml:space="preserve">Розрізняють виробничу інфраструктуру (дороги, електро-, тепло-, водо-, </w:t>
      </w:r>
      <w:r w:rsidRPr="00485E82">
        <w:rPr>
          <w:lang w:val="uk-UA"/>
        </w:rPr>
        <w:t>газо-, каналізаційні комунікації, склади, системи зв'язку тощо) і соціальну інфраструктуру (школи, лікарні, бібліотеки, заклади культури, стадіони, підприємства житлово-комунального господарства та ін.).</w:t>
      </w:r>
    </w:p>
    <w:p w:rsidR="00D73998" w:rsidRPr="00485E82" w:rsidRDefault="00D73998" w:rsidP="005F1E85">
      <w:pPr>
        <w:pStyle w:val="NormalWeb"/>
        <w:shd w:val="clear" w:color="auto" w:fill="FFFFFF"/>
        <w:spacing w:before="0" w:beforeAutospacing="0" w:after="0" w:afterAutospacing="0"/>
        <w:ind w:firstLine="714"/>
        <w:jc w:val="both"/>
        <w:rPr>
          <w:lang w:val="uk-UA"/>
        </w:rPr>
      </w:pPr>
      <w:r w:rsidRPr="00485E82">
        <w:rPr>
          <w:lang w:val="uk-UA"/>
        </w:rPr>
        <w:t>Наразі пропонуємо розглядати інфраструктурну спроможність місцевого самоврядування як здатність здійснювати визначені законом повноваження на відповідній території у сфері</w:t>
      </w:r>
      <w:r>
        <w:rPr>
          <w:lang w:val="uk-UA"/>
        </w:rPr>
        <w:t xml:space="preserve"> </w:t>
      </w:r>
      <w:r w:rsidRPr="00485E82">
        <w:rPr>
          <w:lang w:val="uk-UA"/>
        </w:rPr>
        <w:t>забезпечення якісного функціонування виробничої та соціальної інфраструктури</w:t>
      </w:r>
      <w:r>
        <w:rPr>
          <w:lang w:val="uk-UA"/>
        </w:rPr>
        <w:t xml:space="preserve"> </w:t>
      </w:r>
      <w:r w:rsidRPr="00485E82">
        <w:rPr>
          <w:shd w:val="clear" w:color="auto" w:fill="FFFFFF"/>
          <w:lang w:val="uk-UA"/>
        </w:rPr>
        <w:t xml:space="preserve">за певних умов з використанням наявних ресурсів відповідно до визначених сценаріїв дій. </w:t>
      </w:r>
      <w:r w:rsidRPr="00485E82">
        <w:rPr>
          <w:rStyle w:val="rvts44"/>
          <w:bCs/>
          <w:shd w:val="clear" w:color="auto" w:fill="FFFFFF"/>
          <w:lang w:val="uk-UA"/>
        </w:rPr>
        <w:t>Оцінювання спроможності органів місцевого самоврядування у сфері інфраструктури</w:t>
      </w:r>
      <w:r>
        <w:rPr>
          <w:rStyle w:val="rvts44"/>
          <w:bCs/>
          <w:shd w:val="clear" w:color="auto" w:fill="FFFFFF"/>
          <w:lang w:val="uk-UA"/>
        </w:rPr>
        <w:t xml:space="preserve"> </w:t>
      </w:r>
      <w:r w:rsidRPr="00485E82">
        <w:rPr>
          <w:shd w:val="clear" w:color="auto" w:fill="FFFFFF"/>
          <w:lang w:val="uk-UA"/>
        </w:rPr>
        <w:t>– це процедура оцінювання забезпеченості відповідними ресурсами, здатності до розвитку, наявних матеріальних та нематеріальних активів, виявлення недоліків. А у період військового стану,у першу чергу ще й оцінка завданої шкоди та потреб відновлення.</w:t>
      </w:r>
    </w:p>
    <w:p w:rsidR="00D73998" w:rsidRPr="00485E82" w:rsidRDefault="00D73998" w:rsidP="005F1E85">
      <w:pPr>
        <w:pStyle w:val="NormalWeb"/>
        <w:shd w:val="clear" w:color="auto" w:fill="FFFFFF"/>
        <w:spacing w:before="0" w:beforeAutospacing="0" w:after="0" w:afterAutospacing="0"/>
        <w:ind w:firstLine="714"/>
        <w:jc w:val="both"/>
        <w:rPr>
          <w:lang w:val="uk-UA"/>
        </w:rPr>
      </w:pPr>
      <w:r w:rsidRPr="00485E82">
        <w:rPr>
          <w:lang w:val="uk-UA"/>
        </w:rPr>
        <w:t>Інфраструктура відіграє важливу роль у плануванні, розвитку та управлінні громадою, оскільки допомагає забезпечити її ефективне функціонування відповідно до потреб та очікувань населення.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 даними звіту щодо оновленої спільної оцінки збитків, які виникли внаслідок широкомасштабного вторгнення рф, опублікованому Урядом України разом з Групою Світового банку, Європейською Комісією та ООН, з 24 лютого 2022 року до 31 грудня 2023 року прямі збитки в Україні наразі досягли майже 152 мільярдів доларів США. Найбільш постраждалими секторами є житло, транспорт, торгівля та промисловість, енергетика та сільське господарство [8].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 xml:space="preserve">Та найбільших руйнувань як в абсолютному, так і у вартісному виразі, зазнали об’єкти дорожньої інфраструктури. За аналітичними розрахунками, прямі збитки, завдані комунальним підприємствам та приватним перевізникам, зокрема через зруйнування транспорту становлять 25 млрд грн або $0,9 млрд – це знищені тролейбуси, трамваї, автобуси. Інфраструктура житлово-комунального господарства, що складає важливу частину систем життєзабезпечення населених пунктів, зазнає відключення систем тепло- та водопостачання. 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Лише за попередніми оцінками, станом тільки на 13 червня 2022 р., вартісний вимір прямих збитків щодо об’єктів теплопостачання (без врахування ТЕЦ), водопостачання та водовідведення та об’єктів поводження з побутовими відходами становить $1,3 млрд. Також руйнувань/пошкоджень зазнають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водопровідні насосні станції, каналізаційні мережі, каналізаційні очисні споруди, полігонів для захоронення побутових відходів [9]. 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Викладене вище актуалізує питання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оцінювання </w:t>
      </w:r>
      <w:r w:rsidRPr="00485E82">
        <w:rPr>
          <w:rFonts w:ascii="Times New Roman" w:hAnsi="Times New Roman"/>
          <w:noProof/>
          <w:sz w:val="24"/>
          <w:szCs w:val="24"/>
          <w:lang w:val="uk-UA"/>
        </w:rPr>
        <w:t>інфраструктурної спроможністі територіальних громад, у тому числі і на предмет</w:t>
      </w:r>
      <w:r w:rsidRPr="00485E82">
        <w:rPr>
          <w:rFonts w:ascii="Times New Roman" w:hAnsi="Times New Roman"/>
          <w:sz w:val="24"/>
          <w:szCs w:val="24"/>
          <w:lang w:val="uk-UA" w:eastAsia="ru-RU"/>
        </w:rPr>
        <w:t>відновлення та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 w:eastAsia="ru-RU"/>
        </w:rPr>
        <w:t>відбудови інфраструктури(у першу чергу, критичної), з урахуванням тих трендів, які панують у світі, але на підставі національного законодавства.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З початком повномасштабної агресії рф оцінка збитків здійснювалась командою Київської Школи Економіки у партнерстві з Мінрегіоном за координації Мінреінтеграції та у співпраці з іншими центральними органами влади, з урахуванням інформації, отриманої від військово-цивільних адміністрацій. Оцінка базувалась на методиці оцінки збитків від наслідків катаклізмів, розробленої Світовим Банком (Damage, Loss, and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Needs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Assessment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Guidance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Notes, Volumes 1-3), та у тісній співпраці з командою Світового Банку. 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Дана оцінка базується на підходах до розрахунку, які застосовуються Світовим Банком, та описані в засадничих методологічних документах Банку, з урахуванням,зокрема, наявності наборів даних для здійснення оцінки в окремих секторах.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Оцінка збитків економіки України, понесених внаслідок пошкоджень і руйнувань фізичних активів (damages), попередньої оцінки непрямих втрат економіки у розрізі галузей (losses), а також попередньої та верхньорівневої оцінки потреб економіки у відновленні (без урахування додаткових потреб у модернізації, інвестиційних проектах тощо) (needs).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Оскільки оцінка прямих та непрямих втрат економіки здійснюється на періодичній основі, на обсяг втрат впливає низка чинників. Ключовий чинник – збільшення обсягів фізичних руйнувань, по мірі продовження бойових дій, обстрілів українських міст, а також по мірі зміни лінії фронту. Водночас додатковими факторами, що впливають на оцінку, є точна інформація про ступінь руйнування об’єктів, що знаходяться на території, підконтрольній Україні, а відтак – і коригування припущень щодо обсягів пошкоджень і руйнувань на територіях, де наразі ведуться активні бойові дії або які знаходяться під окупацією. В рамках даної оцінки уточнена інформація щодо фактичних втрат по тих об’єктах, які вдалось оглянути, використовується для оцінки ступенів пошкодження інших об’єктів, фізичний доступ для огляду й оцінки яких поки що є неможливим)[9].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На теперішній час повноваженнями щодо первинного огляду та фіксації збитків наділені органи місцевого самоврядування, а в разі їх відсутності – військові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адміністрації, які згідно з </w:t>
      </w:r>
      <w:hyperlink r:id="rId7" w:anchor="n10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Порядком визначення шкоди та збитків, завданих Україні внаслідок збройної агресії Російської Федерації</w:t>
        </w:r>
      </w:hyperlink>
      <w:r w:rsidRPr="00485E82">
        <w:rPr>
          <w:rFonts w:ascii="Times New Roman" w:hAnsi="Times New Roman"/>
          <w:sz w:val="24"/>
          <w:szCs w:val="24"/>
          <w:lang w:val="uk-UA"/>
        </w:rPr>
        <w:t xml:space="preserve"> [10]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Вони вживають заходів щодо оцінювання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втрат об’єктів житлово-комунального господарства – напрям, що включає зруйновані і пошкоджені об’єкти у сфері теплопостачання, об’єкти водопостачання і водовідведення, решту об’єктів житлово-комунального господарства, знищення яких має безпосередній вплив на санітарні та гігієнічні умови проживання жителів населених пунктів;втрат громадських будівель (об’єктів освіти, спорту, соціального захисту, охорони здоров’я, культури, адміністративних будівель тощо).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Визначення шкоди та збитків, завданих інфраструктурі транспорту, інфраструктурі електронних комунікаційних мереж, зокрема, зруйнованих, пошкоджених автомобільних доріг, залізничних шляхів, гідротехнічних споруд, об’єктів поштового зв’язку, здійснюється </w:t>
      </w:r>
      <w:r w:rsidRPr="00485E82">
        <w:rPr>
          <w:rFonts w:ascii="Times New Roman" w:hAnsi="Times New Roman"/>
          <w:spacing w:val="-2"/>
          <w:sz w:val="24"/>
          <w:szCs w:val="24"/>
          <w:shd w:val="clear" w:color="auto" w:fill="FFFFFF"/>
          <w:lang w:val="uk-UA"/>
        </w:rPr>
        <w:t>органами державної влади та органами місцевого самоврядування згідно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pacing w:val="-2"/>
          <w:sz w:val="24"/>
          <w:szCs w:val="24"/>
          <w:lang w:val="uk-UA"/>
        </w:rPr>
        <w:t>Методики визначення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шкоди та збитків, завданих інфраструктурі транспорту, інфраструктурі електронних комунікаційних мереж та об’єктів поштового зв’язку внаслідок збройної агресії рф[11].Результати проведених уповноваженими органами (комісіями) фіксації збитків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критичній інфраструктурі, виробничій та соціальним інфраструктурі громад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повинні зберігатись в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Міжнародному Реєстрі збитків[12].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Механізми оцінки (визначення розміру) прямих та непрямих збитків, орієнтовної вартості відновлення, що наведені в цій Методиці, розроблено організаціями, визнаними у світовому співтоваристві, на підставі керівних принципів Світового банку щодо оцінки збитків та інших матеріалів. За результатами аналітичної оцінки шкоди та збитків складається аналітичний звіт в електронній та в паперовій формі.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Враховуючи велику різноманітність збитків / втрат від збройної агресії рф, місцевим органам влади доцільно залучати до оцінювання інфраструктурної спроможності громад експертне середовище з урахуванням вимог постанови КМУ від 20.03.2022 № 326.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 xml:space="preserve">В умовах зростаючої урбанізації і стресу, які впливають на ресурси та інфраструктуру, перед містами в усьому світі виникає серйозна проблема, обумовлена необхідністю ефективного планування, управління та розробки політики. Саме тому, у рамках ISO з метою вироблення та реалізації цілісних міжсекторальних підходів та прийняття інтегрованих рішень для забезпечення сталого розвитку «розумних громад» (Smartcommunity) в березні 2012 р. створено Технічний комітет стандартизації – ISO/TC 268 «Сталий розвиток в громадах» (Sustainabledevelopmentincommunities), в структурі якого функціонує підкомітет ISO/TC 268/SC 1 «Інтелектуальні громадські інфраструктури» (Smartcommunityinfrastructures) та робочі групи – WG 1 «Системи управління» (ManagementSystems) і WG 2 «Міські індикатори» (CityIndicators).Розроблений та оновлений ними Стандарт 37120 включає показники, які дозволять ефективно управляти містами та громадами для покращення якості життя іх мешканців та здійснювати планування з урахуванням показників сталого розвитку [13]. </w:t>
      </w:r>
    </w:p>
    <w:p w:rsidR="00D73998" w:rsidRPr="00485E82" w:rsidRDefault="00D73998" w:rsidP="005F1E85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Урахування показників та критеріїв за міжнародним стандартом ISO 37120 у програмних та планових документах територіальних громад у сфері інфраструктури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дозволить швидше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та ефективніше використовувати матеріальну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підтримку партнерів України для задоволення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найбільш нагальних потреб відновлення зруйнованої інфраструктури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підвищення інфраструктурної спроможності громад.</w:t>
      </w:r>
    </w:p>
    <w:p w:rsidR="00D73998" w:rsidRPr="00485E82" w:rsidRDefault="00D73998" w:rsidP="007207CC">
      <w:pPr>
        <w:spacing w:after="0" w:line="240" w:lineRule="auto"/>
        <w:ind w:firstLine="71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>Загалом стійкість – це здатність суспільства та держави швидко адаптуватися до змін безпекового середовища й підтримувати стале функціонування, зокрема завдяки мінімізації зовнішніх і внутрішніх уразливостей. Отже, оцінка стійкості територіальних громад має виходити з оцінки національної стійкості до певних загроз. З огляду на Стратегію національної безпеки 2020 р., посилення загроз для критичної інфраструктури потребує підвищення стійкості саме критично важливих об</w:t>
      </w:r>
      <w:r w:rsidRPr="00485E82">
        <w:rPr>
          <w:rFonts w:ascii="Times New Roman" w:hAnsi="Times New Roman"/>
          <w:sz w:val="24"/>
          <w:szCs w:val="24"/>
        </w:rPr>
        <w:t>'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єктів на всіх рівнях. Сьогодні основною загрозою стійкості й безпеці країни загалом та її регіонам й територіальним громадам є збройна агресія рф. Тому необхідною умовою стійкості громад як тилу під час війни є їх інфраструктурна спроможність.  А вчасна та професійна її оцінка з урахування актуальних  ризиків і загроз </w:t>
      </w:r>
      <w:r w:rsidRPr="00485E82">
        <w:rPr>
          <w:rFonts w:ascii="Times New Roman" w:hAnsi="Times New Roman"/>
          <w:spacing w:val="-4"/>
          <w:sz w:val="24"/>
          <w:szCs w:val="24"/>
          <w:lang w:val="uk-UA"/>
        </w:rPr>
        <w:t>можливостям розвитку, сприятиме підвищенню стійкості і, відповідно, безпеки регіонів і громад</w:t>
      </w:r>
      <w:r w:rsidRPr="00485E82">
        <w:rPr>
          <w:rFonts w:ascii="Times New Roman" w:hAnsi="Times New Roman"/>
          <w:sz w:val="24"/>
          <w:szCs w:val="24"/>
          <w:lang w:val="uk-UA"/>
        </w:rPr>
        <w:t>.</w:t>
      </w: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3998" w:rsidRPr="00485E82" w:rsidRDefault="00D73998" w:rsidP="005F1E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5E82">
        <w:rPr>
          <w:rFonts w:ascii="Times New Roman" w:hAnsi="Times New Roman"/>
          <w:b/>
          <w:sz w:val="24"/>
          <w:szCs w:val="24"/>
          <w:lang w:val="uk-UA"/>
        </w:rPr>
        <w:t>Список літератури</w:t>
      </w:r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 xml:space="preserve">Мірошниченко О.В. Методичні підходи до оцінювання ефективності соціально‐ економічного розвитку сільських територій в умовах децентралізації. Академічні візії. 2022№ URL: </w:t>
      </w:r>
      <w:hyperlink r:id="rId8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file:///C:/Users/User/Downloads/%D0%9C%D1%96%D1%80%D0%BE%D1%88%D0%BD%D0%B8%D1%87%D0%B5%D0%BD%D0%BA%D0%BE+%D0%9E%D0%BB%D0%B5%D0%BA%D1%81%D0%B0%D0%BD%D0%B4%D1%80+%D0%92%D1%96%D0%BA%D1%82%D0%BE%D1%80%D0%BE%D0%B2%D0%B8%D1%87.pdf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затвердження Порядку використання коштів, передбачених у державному бюджеті на фінансову підтримку заходів із створення робочих місць для відтворення та розвитку інфраструктури Донецької області </w:t>
      </w:r>
      <w:r w:rsidRPr="00485E82">
        <w:rPr>
          <w:rStyle w:val="Emphasis"/>
          <w:rFonts w:ascii="Times New Roman" w:hAnsi="Times New Roman"/>
          <w:i w:val="0"/>
          <w:sz w:val="24"/>
          <w:szCs w:val="24"/>
          <w:lang w:val="uk-UA"/>
        </w:rPr>
        <w:t xml:space="preserve">Постанова Кабінету Міністрів </w:t>
      </w:r>
      <w:r w:rsidRPr="00485E82">
        <w:rPr>
          <w:rStyle w:val="Emphasis"/>
          <w:rFonts w:ascii="Times New Roman" w:hAnsi="Times New Roman"/>
          <w:sz w:val="24"/>
          <w:szCs w:val="24"/>
          <w:lang w:val="uk-UA"/>
        </w:rPr>
        <w:t>України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від 06.06.2018 № </w:t>
      </w:r>
      <w:r w:rsidRPr="00485E82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454.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URL: </w:t>
      </w:r>
      <w:hyperlink r:id="rId9" w:anchor="Text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https://zakon.rada.gov.ua/laws/show/454-2018-%D0%BF#Text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доступ до об'єктів будівництва, транспорту, електроенергетики з метою розвитку електронних комунікаційних мереж. </w:t>
      </w:r>
      <w:r w:rsidRPr="00485E82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Закон України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від 07.02.2017 № </w:t>
      </w:r>
      <w:r w:rsidRPr="00485E8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1834-VIII.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URL: </w:t>
      </w:r>
      <w:hyperlink r:id="rId10" w:anchor="Text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https://zakon.rada.gov.ua/laws/show/1834-19#Text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Strong"/>
          <w:rFonts w:ascii="Times New Roman" w:hAnsi="Times New Roman"/>
          <w:bCs w:val="0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доступ до об'єктів будівництва, транспорту, електроенергетики з метою розвитку електронних комунікаційних мереж. </w:t>
      </w:r>
      <w:r w:rsidRPr="00485E82">
        <w:rPr>
          <w:rStyle w:val="Emphasis"/>
          <w:rFonts w:ascii="Times New Roman" w:hAnsi="Times New Roman"/>
          <w:sz w:val="24"/>
          <w:szCs w:val="24"/>
          <w:lang w:val="uk-UA"/>
        </w:rPr>
        <w:t>Закон України</w:t>
      </w:r>
      <w:r w:rsidRPr="00485E82">
        <w:rPr>
          <w:rFonts w:ascii="Times New Roman" w:hAnsi="Times New Roman"/>
          <w:sz w:val="24"/>
          <w:szCs w:val="24"/>
          <w:lang w:val="uk-UA"/>
        </w:rPr>
        <w:t> від 07.02.2017 № </w:t>
      </w:r>
      <w:r w:rsidRPr="00485E82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1834-VIII.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URL: </w:t>
      </w:r>
      <w:hyperlink r:id="rId11" w:anchor="Text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https://zakon.rada.gov.ua/laws/show/1834-19#Text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Strong"/>
          <w:rFonts w:ascii="Times New Roman" w:hAnsi="Times New Roman"/>
          <w:bCs w:val="0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затвердження Державних санітарних норм і правил «Санітарно-протиепідемічні вимоги до новозбудованих, реставрованих і реконструйованих закладів охорони здоров'я» та Змін до деяких нормативно-правових актів Міністерства охорони здоров'я. Наказ МОЗ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від 21.02.2023 № </w:t>
      </w:r>
      <w:r w:rsidRPr="00485E82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>354.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URL: </w:t>
      </w:r>
      <w:hyperlink r:id="rId12" w:anchor="Text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https://zakon.rada.gov.ua/laws/show/z0562-23#Text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Strong"/>
          <w:rFonts w:ascii="Times New Roman" w:hAnsi="Times New Roman"/>
          <w:bCs w:val="0"/>
          <w:sz w:val="24"/>
          <w:szCs w:val="24"/>
          <w:shd w:val="clear" w:color="auto" w:fill="FFFFFF"/>
          <w:lang w:val="uk-UA"/>
        </w:rPr>
      </w:pPr>
      <w:hyperlink r:id="rId13" w:anchor="n109" w:tgtFrame="_blank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Про затвердження Порядку проведення огляду громадської безпеки та цивільного захисту Міністерством внутрішніх справ</w:t>
        </w:r>
      </w:hyperlink>
      <w:r w:rsidRPr="00485E8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85E82">
        <w:rPr>
          <w:rStyle w:val="Emphasis"/>
          <w:rFonts w:ascii="Times New Roman" w:hAnsi="Times New Roman"/>
          <w:i w:val="0"/>
          <w:sz w:val="24"/>
          <w:szCs w:val="24"/>
          <w:lang w:val="uk-UA"/>
        </w:rPr>
        <w:t>Постанова Кабінету Міністрів України</w:t>
      </w:r>
      <w:r>
        <w:rPr>
          <w:rStyle w:val="Emphasis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lang w:val="uk-UA"/>
        </w:rPr>
        <w:t>від 22.05.2019</w:t>
      </w:r>
      <w:r w:rsidRPr="00485E82">
        <w:rPr>
          <w:rFonts w:ascii="Times New Roman" w:hAnsi="Times New Roman"/>
          <w:i/>
          <w:sz w:val="24"/>
          <w:szCs w:val="24"/>
          <w:lang w:val="uk-UA"/>
        </w:rPr>
        <w:t> </w:t>
      </w:r>
      <w:r w:rsidRPr="00485E82">
        <w:rPr>
          <w:rFonts w:ascii="Times New Roman" w:hAnsi="Times New Roman"/>
          <w:sz w:val="24"/>
          <w:szCs w:val="24"/>
          <w:lang w:val="uk-UA"/>
        </w:rPr>
        <w:t>№</w:t>
      </w:r>
      <w:r w:rsidRPr="00485E82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485E82">
        <w:rPr>
          <w:rStyle w:val="Strong"/>
          <w:rFonts w:ascii="Times New Roman" w:hAnsi="Times New Roman"/>
          <w:b w:val="0"/>
          <w:sz w:val="24"/>
          <w:szCs w:val="24"/>
          <w:lang w:val="uk-UA"/>
        </w:rPr>
        <w:t xml:space="preserve">507. </w:t>
      </w:r>
      <w:hyperlink r:id="rId14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URL:https://zakon.rada.gov.ua/laws/show/507-2019-%D0%BF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Strong"/>
          <w:rFonts w:ascii="Times New Roman" w:hAnsi="Times New Roman"/>
          <w:bCs w:val="0"/>
          <w:sz w:val="24"/>
          <w:szCs w:val="24"/>
          <w:shd w:val="clear" w:color="auto" w:fill="FFFFFF"/>
          <w:lang w:val="uk-UA"/>
        </w:rPr>
      </w:pPr>
      <w:hyperlink r:id="rId15" w:anchor="n33" w:tgtFrame="_blank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Про затвердження Порядку організації та здійснення оборонного планування в Міністерстві оборони України, Збройних Силах України та інших складових сил оборони</w:t>
        </w:r>
      </w:hyperlink>
      <w:r w:rsidRPr="00485E82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uk-UA"/>
        </w:rPr>
        <w:t>Міноборони України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Наказ,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 22.12.2020 № </w:t>
      </w:r>
      <w:r w:rsidRPr="00485E82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484. </w:t>
      </w:r>
      <w:hyperlink r:id="rId16" w:anchor="Text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URL:</w:t>
        </w:r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uk-UA"/>
          </w:rPr>
          <w:t>https://zakon.rada.gov.ua/laws/show/z0196-21#Text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Офіційний сайт Міністерства розвитку громад, територій та інфраструктури України.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URL:</w:t>
      </w:r>
      <w:hyperlink r:id="rId17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uk-UA"/>
          </w:rPr>
          <w:t>https://mtu.gov.ua/news/35306.html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lang w:val="uk-UA"/>
        </w:rPr>
        <w:t xml:space="preserve">Звіт про прямі збитки інфраструктури, непрямі втрати економіки від руйнувань внаслідок військової агресії росії проти України, та попередня оцінка потреб України у фінансуванні відновлення. 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485E82">
        <w:rPr>
          <w:rFonts w:ascii="Times New Roman" w:hAnsi="Times New Roman"/>
          <w:sz w:val="24"/>
          <w:szCs w:val="24"/>
          <w:lang w:val="uk-UA"/>
        </w:rPr>
        <w:t>URL:</w:t>
      </w:r>
      <w:hyperlink r:id="rId18" w:history="1">
        <w:r w:rsidRPr="00485E82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https://kse.ua/wp-content/uploads/2022/07/NRC_CLEAN_Final_Jul1_Losses-and-Needs- Report.pdf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визначення шкоди та збитків, завданих Україні внаслідок збройної агресії Російської Федерації Постанова Кабінету Міністрів України від 20 березня 2022 р. № 326.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URL:</w:t>
      </w:r>
      <w:hyperlink r:id="rId19" w:anchor="n10" w:history="1">
        <w:r w:rsidRPr="00485E82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uk-UA"/>
          </w:rPr>
          <w:t>https://zakon.rada.gov.ua/laws/show/326-2022-%D0%BF#n10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rvts9"/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Методика визначення шкоди та збитків, завданих інфраструктурі транспорту, інфраструктурі електронних комунікаційних мереж та об’єктів поштового зв’язку внаслідок збройної агресії Російської Федерації </w:t>
      </w:r>
      <w:r w:rsidRPr="00485E82"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Наказ Міністерства розвитку громад, територійта інфраструктури України 24 березня 2023 року № 182.</w:t>
      </w:r>
      <w:r w:rsidRPr="00485E82">
        <w:rPr>
          <w:rFonts w:ascii="Times New Roman" w:hAnsi="Times New Roman"/>
          <w:sz w:val="24"/>
          <w:szCs w:val="24"/>
          <w:lang w:val="uk-UA"/>
        </w:rPr>
        <w:t xml:space="preserve"> URL:</w:t>
      </w:r>
      <w:hyperlink r:id="rId20" w:anchor="Text" w:history="1">
        <w:r w:rsidRPr="00485E82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uk-UA"/>
          </w:rPr>
          <w:t>https://zakon.rada.gov.ua/laws/show/z0733-23?find=1&amp;text=%D1%81%D1%83%D0%B1%D1%94%27%D1%94%D0%BA%D1%82#Text</w:t>
        </w:r>
      </w:hyperlink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485E82"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Урядовий портал https://www.kmu.gov.ua/news/mizhnarodnyi-reiestr-zbytkiv-zavdanykh-ahresiieiu-rosiiskoi-federatsii-proty-ukrainy-bude-vidkryto-dlia-pryiomu-zaiav </w:t>
      </w:r>
    </w:p>
    <w:p w:rsidR="00D73998" w:rsidRPr="00485E82" w:rsidRDefault="00D73998" w:rsidP="005F1E85">
      <w:pPr>
        <w:pStyle w:val="ListParagraph"/>
        <w:numPr>
          <w:ilvl w:val="0"/>
          <w:numId w:val="5"/>
        </w:numPr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85E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Децентралізація влади в Україні: оцінювання результатів формування та розвитку самодостатніх громад : монографія / за заг. та наук. ред. С. М. Серьогіна, І. А. Чикаренко. – Дніпро : ДРІДУ НАДУ, 2019. – 141-153с.</w:t>
      </w:r>
    </w:p>
    <w:p w:rsidR="00D73998" w:rsidRPr="00485E82" w:rsidRDefault="00D73998" w:rsidP="005F1E85">
      <w:pPr>
        <w:pStyle w:val="ListParagraph"/>
        <w:tabs>
          <w:tab w:val="left" w:pos="102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73998" w:rsidRPr="00485E82" w:rsidRDefault="00D73998" w:rsidP="005F1E85">
      <w:pPr>
        <w:tabs>
          <w:tab w:val="left" w:pos="1022"/>
        </w:tabs>
        <w:spacing w:after="0" w:line="240" w:lineRule="auto"/>
        <w:ind w:firstLine="709"/>
        <w:jc w:val="both"/>
        <w:rPr>
          <w:rStyle w:val="rvts9"/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p w:rsidR="00D73998" w:rsidRPr="00485E82" w:rsidRDefault="00D73998" w:rsidP="005F1E85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D73998" w:rsidRPr="00485E82" w:rsidSect="008F4432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1134" w:bottom="1134" w:left="1134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98" w:rsidRDefault="00D73998" w:rsidP="005F1E85">
      <w:pPr>
        <w:spacing w:after="0" w:line="240" w:lineRule="auto"/>
      </w:pPr>
      <w:r>
        <w:separator/>
      </w:r>
    </w:p>
  </w:endnote>
  <w:endnote w:type="continuationSeparator" w:id="1">
    <w:p w:rsidR="00D73998" w:rsidRDefault="00D73998" w:rsidP="005F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98" w:rsidRDefault="00D73998" w:rsidP="003E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998" w:rsidRDefault="00D73998" w:rsidP="008F44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98" w:rsidRDefault="00D73998" w:rsidP="003E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195</w:t>
    </w:r>
    <w:r>
      <w:rPr>
        <w:rStyle w:val="PageNumber"/>
      </w:rPr>
      <w:fldChar w:fldCharType="end"/>
    </w:r>
  </w:p>
  <w:p w:rsidR="00D73998" w:rsidRDefault="00D73998" w:rsidP="008F44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98" w:rsidRDefault="00D73998" w:rsidP="005F1E85">
      <w:pPr>
        <w:spacing w:after="0" w:line="240" w:lineRule="auto"/>
      </w:pPr>
      <w:r>
        <w:separator/>
      </w:r>
    </w:p>
  </w:footnote>
  <w:footnote w:type="continuationSeparator" w:id="1">
    <w:p w:rsidR="00D73998" w:rsidRDefault="00D73998" w:rsidP="005F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98" w:rsidRDefault="00D73998" w:rsidP="003E3D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998" w:rsidRDefault="00D73998" w:rsidP="008F443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98" w:rsidRPr="007F3910" w:rsidRDefault="00D73998" w:rsidP="008F4432">
    <w:pPr>
      <w:tabs>
        <w:tab w:val="left" w:pos="690"/>
        <w:tab w:val="center" w:pos="4677"/>
        <w:tab w:val="right" w:pos="9355"/>
      </w:tabs>
      <w:ind w:right="360"/>
      <w:jc w:val="center"/>
      <w:rPr>
        <w:rFonts w:ascii="Times New Roman" w:hAnsi="Times New Roman"/>
        <w:lang w:val="uk-UA"/>
      </w:rPr>
    </w:pPr>
    <w:r w:rsidRPr="007F3910">
      <w:rPr>
        <w:rFonts w:ascii="Times New Roman" w:hAnsi="Times New Roman"/>
      </w:rPr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D73998" w:rsidRDefault="00D73998" w:rsidP="008F443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B88"/>
    <w:multiLevelType w:val="hybridMultilevel"/>
    <w:tmpl w:val="0384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67C54"/>
    <w:multiLevelType w:val="hybridMultilevel"/>
    <w:tmpl w:val="F45C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D5398"/>
    <w:multiLevelType w:val="hybridMultilevel"/>
    <w:tmpl w:val="46E0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45448"/>
    <w:multiLevelType w:val="hybridMultilevel"/>
    <w:tmpl w:val="5D667F70"/>
    <w:lvl w:ilvl="0" w:tplc="80D01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F0078E"/>
    <w:multiLevelType w:val="hybridMultilevel"/>
    <w:tmpl w:val="D3FE6A06"/>
    <w:lvl w:ilvl="0" w:tplc="A33EED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83F"/>
    <w:rsid w:val="0000339D"/>
    <w:rsid w:val="0002599C"/>
    <w:rsid w:val="000345AA"/>
    <w:rsid w:val="00042346"/>
    <w:rsid w:val="000449A5"/>
    <w:rsid w:val="00082273"/>
    <w:rsid w:val="0008312A"/>
    <w:rsid w:val="00085D88"/>
    <w:rsid w:val="00094C95"/>
    <w:rsid w:val="000A3F02"/>
    <w:rsid w:val="000A7653"/>
    <w:rsid w:val="000C0615"/>
    <w:rsid w:val="000D6DC1"/>
    <w:rsid w:val="0010219F"/>
    <w:rsid w:val="0010328A"/>
    <w:rsid w:val="0010772E"/>
    <w:rsid w:val="00110A45"/>
    <w:rsid w:val="00133DF9"/>
    <w:rsid w:val="0013602A"/>
    <w:rsid w:val="00140F45"/>
    <w:rsid w:val="00154CFB"/>
    <w:rsid w:val="00170B89"/>
    <w:rsid w:val="00177914"/>
    <w:rsid w:val="001B1974"/>
    <w:rsid w:val="001C5A4E"/>
    <w:rsid w:val="001F5EF1"/>
    <w:rsid w:val="002077F2"/>
    <w:rsid w:val="00225B16"/>
    <w:rsid w:val="00231BF1"/>
    <w:rsid w:val="002342F6"/>
    <w:rsid w:val="00245440"/>
    <w:rsid w:val="00251AA0"/>
    <w:rsid w:val="00263A5D"/>
    <w:rsid w:val="002770EF"/>
    <w:rsid w:val="00287B3D"/>
    <w:rsid w:val="002A2CF9"/>
    <w:rsid w:val="002A5EC1"/>
    <w:rsid w:val="002B0B12"/>
    <w:rsid w:val="002C57B9"/>
    <w:rsid w:val="002D6A24"/>
    <w:rsid w:val="003146F8"/>
    <w:rsid w:val="0031589C"/>
    <w:rsid w:val="00323F1C"/>
    <w:rsid w:val="00330A79"/>
    <w:rsid w:val="003449BA"/>
    <w:rsid w:val="00362199"/>
    <w:rsid w:val="00370477"/>
    <w:rsid w:val="00384F2B"/>
    <w:rsid w:val="00395AEE"/>
    <w:rsid w:val="003A2635"/>
    <w:rsid w:val="003A27F1"/>
    <w:rsid w:val="003A3ED8"/>
    <w:rsid w:val="003A3FFE"/>
    <w:rsid w:val="003C18CE"/>
    <w:rsid w:val="003C2151"/>
    <w:rsid w:val="003D2365"/>
    <w:rsid w:val="003E3D42"/>
    <w:rsid w:val="0041092B"/>
    <w:rsid w:val="00424B03"/>
    <w:rsid w:val="00456531"/>
    <w:rsid w:val="004604A1"/>
    <w:rsid w:val="00470E26"/>
    <w:rsid w:val="00471485"/>
    <w:rsid w:val="00485E82"/>
    <w:rsid w:val="004959B7"/>
    <w:rsid w:val="004B2080"/>
    <w:rsid w:val="004B79FC"/>
    <w:rsid w:val="004D03E6"/>
    <w:rsid w:val="004D6A5F"/>
    <w:rsid w:val="004D7A41"/>
    <w:rsid w:val="00501D03"/>
    <w:rsid w:val="00582D82"/>
    <w:rsid w:val="005C2EE8"/>
    <w:rsid w:val="005C44C8"/>
    <w:rsid w:val="005D447F"/>
    <w:rsid w:val="005D5A6B"/>
    <w:rsid w:val="005D7D0F"/>
    <w:rsid w:val="005E10F6"/>
    <w:rsid w:val="005E6941"/>
    <w:rsid w:val="005E7E79"/>
    <w:rsid w:val="005F000C"/>
    <w:rsid w:val="005F1E85"/>
    <w:rsid w:val="005F5ED3"/>
    <w:rsid w:val="005F6F6C"/>
    <w:rsid w:val="005F71EC"/>
    <w:rsid w:val="006003FA"/>
    <w:rsid w:val="00600E4C"/>
    <w:rsid w:val="00623D4A"/>
    <w:rsid w:val="00642752"/>
    <w:rsid w:val="0065212B"/>
    <w:rsid w:val="0066383F"/>
    <w:rsid w:val="00667B3A"/>
    <w:rsid w:val="0067442C"/>
    <w:rsid w:val="00683D09"/>
    <w:rsid w:val="0068679D"/>
    <w:rsid w:val="00694CC7"/>
    <w:rsid w:val="006974A1"/>
    <w:rsid w:val="006A7F07"/>
    <w:rsid w:val="006B2EDB"/>
    <w:rsid w:val="006B6E1E"/>
    <w:rsid w:val="006F782B"/>
    <w:rsid w:val="00700E5F"/>
    <w:rsid w:val="00706162"/>
    <w:rsid w:val="00706BD9"/>
    <w:rsid w:val="007101B6"/>
    <w:rsid w:val="0071744E"/>
    <w:rsid w:val="007207CC"/>
    <w:rsid w:val="00733D5C"/>
    <w:rsid w:val="00736C30"/>
    <w:rsid w:val="007446E5"/>
    <w:rsid w:val="00747E1A"/>
    <w:rsid w:val="00755C57"/>
    <w:rsid w:val="00760511"/>
    <w:rsid w:val="00772172"/>
    <w:rsid w:val="00782143"/>
    <w:rsid w:val="00790229"/>
    <w:rsid w:val="007B176D"/>
    <w:rsid w:val="007C153D"/>
    <w:rsid w:val="007D490E"/>
    <w:rsid w:val="007D648F"/>
    <w:rsid w:val="007D670D"/>
    <w:rsid w:val="007D6806"/>
    <w:rsid w:val="007D7F57"/>
    <w:rsid w:val="007E4794"/>
    <w:rsid w:val="007E7A3C"/>
    <w:rsid w:val="007F3910"/>
    <w:rsid w:val="007F58E9"/>
    <w:rsid w:val="00803DF2"/>
    <w:rsid w:val="008366A9"/>
    <w:rsid w:val="00860429"/>
    <w:rsid w:val="00862918"/>
    <w:rsid w:val="00862B71"/>
    <w:rsid w:val="00863E5C"/>
    <w:rsid w:val="00870B91"/>
    <w:rsid w:val="00873603"/>
    <w:rsid w:val="0088053E"/>
    <w:rsid w:val="00897032"/>
    <w:rsid w:val="008A5A57"/>
    <w:rsid w:val="008B05AC"/>
    <w:rsid w:val="008C2411"/>
    <w:rsid w:val="008C4AC1"/>
    <w:rsid w:val="008C623F"/>
    <w:rsid w:val="008D0392"/>
    <w:rsid w:val="008D5D36"/>
    <w:rsid w:val="008F4432"/>
    <w:rsid w:val="008F6715"/>
    <w:rsid w:val="00915A05"/>
    <w:rsid w:val="00916AFF"/>
    <w:rsid w:val="00920D80"/>
    <w:rsid w:val="0092144D"/>
    <w:rsid w:val="009225CB"/>
    <w:rsid w:val="0092351F"/>
    <w:rsid w:val="00925253"/>
    <w:rsid w:val="00926FA3"/>
    <w:rsid w:val="00944FB8"/>
    <w:rsid w:val="00953F84"/>
    <w:rsid w:val="00957299"/>
    <w:rsid w:val="00966F36"/>
    <w:rsid w:val="00967C60"/>
    <w:rsid w:val="009750CA"/>
    <w:rsid w:val="00991833"/>
    <w:rsid w:val="009A0097"/>
    <w:rsid w:val="009C49D2"/>
    <w:rsid w:val="009D0470"/>
    <w:rsid w:val="009E172A"/>
    <w:rsid w:val="00A00B70"/>
    <w:rsid w:val="00A0151E"/>
    <w:rsid w:val="00A15566"/>
    <w:rsid w:val="00A204FD"/>
    <w:rsid w:val="00A20893"/>
    <w:rsid w:val="00A355E8"/>
    <w:rsid w:val="00A42B99"/>
    <w:rsid w:val="00A528E4"/>
    <w:rsid w:val="00A56F23"/>
    <w:rsid w:val="00AA76C9"/>
    <w:rsid w:val="00AB11DA"/>
    <w:rsid w:val="00AB4A50"/>
    <w:rsid w:val="00AC3FE6"/>
    <w:rsid w:val="00AE10FD"/>
    <w:rsid w:val="00AF47E9"/>
    <w:rsid w:val="00B06535"/>
    <w:rsid w:val="00B07754"/>
    <w:rsid w:val="00B470DF"/>
    <w:rsid w:val="00B531D1"/>
    <w:rsid w:val="00B5408C"/>
    <w:rsid w:val="00B75740"/>
    <w:rsid w:val="00B80AB8"/>
    <w:rsid w:val="00B909B5"/>
    <w:rsid w:val="00B95350"/>
    <w:rsid w:val="00BC1E20"/>
    <w:rsid w:val="00BD2B54"/>
    <w:rsid w:val="00BF1B02"/>
    <w:rsid w:val="00C0319A"/>
    <w:rsid w:val="00C0632E"/>
    <w:rsid w:val="00C124FC"/>
    <w:rsid w:val="00C43374"/>
    <w:rsid w:val="00C4411D"/>
    <w:rsid w:val="00C457FC"/>
    <w:rsid w:val="00C50398"/>
    <w:rsid w:val="00C6635C"/>
    <w:rsid w:val="00C74B2E"/>
    <w:rsid w:val="00C80AC0"/>
    <w:rsid w:val="00C9147B"/>
    <w:rsid w:val="00CA7ACA"/>
    <w:rsid w:val="00CB43C8"/>
    <w:rsid w:val="00CF14C1"/>
    <w:rsid w:val="00D25AD3"/>
    <w:rsid w:val="00D36B05"/>
    <w:rsid w:val="00D419F8"/>
    <w:rsid w:val="00D44AD4"/>
    <w:rsid w:val="00D45C67"/>
    <w:rsid w:val="00D70E84"/>
    <w:rsid w:val="00D72E65"/>
    <w:rsid w:val="00D73358"/>
    <w:rsid w:val="00D735BB"/>
    <w:rsid w:val="00D73998"/>
    <w:rsid w:val="00D743C7"/>
    <w:rsid w:val="00D7518A"/>
    <w:rsid w:val="00D82A59"/>
    <w:rsid w:val="00D838C8"/>
    <w:rsid w:val="00D879C9"/>
    <w:rsid w:val="00D90921"/>
    <w:rsid w:val="00DA64AD"/>
    <w:rsid w:val="00DA7E95"/>
    <w:rsid w:val="00DC0551"/>
    <w:rsid w:val="00DC3474"/>
    <w:rsid w:val="00DE156D"/>
    <w:rsid w:val="00DF6494"/>
    <w:rsid w:val="00E16337"/>
    <w:rsid w:val="00E246A6"/>
    <w:rsid w:val="00E42917"/>
    <w:rsid w:val="00E45FCF"/>
    <w:rsid w:val="00E47D08"/>
    <w:rsid w:val="00E5513F"/>
    <w:rsid w:val="00E63882"/>
    <w:rsid w:val="00E67448"/>
    <w:rsid w:val="00E70B92"/>
    <w:rsid w:val="00E70D48"/>
    <w:rsid w:val="00E732C2"/>
    <w:rsid w:val="00E73420"/>
    <w:rsid w:val="00E84FCD"/>
    <w:rsid w:val="00E942B5"/>
    <w:rsid w:val="00E95A31"/>
    <w:rsid w:val="00E97EA0"/>
    <w:rsid w:val="00EC533A"/>
    <w:rsid w:val="00ED7CD4"/>
    <w:rsid w:val="00EF3A8A"/>
    <w:rsid w:val="00F01114"/>
    <w:rsid w:val="00F01F45"/>
    <w:rsid w:val="00F02873"/>
    <w:rsid w:val="00F03D50"/>
    <w:rsid w:val="00F04562"/>
    <w:rsid w:val="00F05858"/>
    <w:rsid w:val="00F05869"/>
    <w:rsid w:val="00F1764B"/>
    <w:rsid w:val="00F20A57"/>
    <w:rsid w:val="00F34049"/>
    <w:rsid w:val="00F4184F"/>
    <w:rsid w:val="00F45468"/>
    <w:rsid w:val="00F4747A"/>
    <w:rsid w:val="00F70AB1"/>
    <w:rsid w:val="00FA10BA"/>
    <w:rsid w:val="00FA7863"/>
    <w:rsid w:val="00FB083C"/>
    <w:rsid w:val="00FB3CDD"/>
    <w:rsid w:val="00FB52DE"/>
    <w:rsid w:val="00FE02AA"/>
    <w:rsid w:val="00FE4A97"/>
    <w:rsid w:val="00F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D4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link w:val="Heading1Char"/>
    <w:uiPriority w:val="99"/>
    <w:qFormat/>
    <w:rsid w:val="00F4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4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F4747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F6F6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D6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62199"/>
    <w:pPr>
      <w:ind w:left="720"/>
      <w:contextualSpacing/>
    </w:pPr>
  </w:style>
  <w:style w:type="character" w:customStyle="1" w:styleId="rvts44">
    <w:name w:val="rvts44"/>
    <w:basedOn w:val="DefaultParagraphFont"/>
    <w:uiPriority w:val="99"/>
    <w:rsid w:val="00B0653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06535"/>
    <w:rPr>
      <w:rFonts w:cs="Times New Roman"/>
      <w:i/>
      <w:iCs/>
    </w:rPr>
  </w:style>
  <w:style w:type="character" w:customStyle="1" w:styleId="a">
    <w:name w:val="Основний текст_"/>
    <w:basedOn w:val="DefaultParagraphFont"/>
    <w:link w:val="1"/>
    <w:uiPriority w:val="99"/>
    <w:locked/>
    <w:rsid w:val="00B06535"/>
    <w:rPr>
      <w:rFonts w:eastAsia="Times New Roman" w:cs="Times New Roman"/>
      <w:sz w:val="20"/>
      <w:szCs w:val="20"/>
    </w:rPr>
  </w:style>
  <w:style w:type="paragraph" w:customStyle="1" w:styleId="1">
    <w:name w:val="Основний текст1"/>
    <w:basedOn w:val="Normal"/>
    <w:link w:val="a"/>
    <w:uiPriority w:val="99"/>
    <w:rsid w:val="00B06535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chrome">
    <w:name w:val="chrome"/>
    <w:basedOn w:val="Normal"/>
    <w:uiPriority w:val="99"/>
    <w:rsid w:val="00915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js-control-text">
    <w:name w:val="vjs-control-text"/>
    <w:basedOn w:val="DefaultParagraphFont"/>
    <w:uiPriority w:val="99"/>
    <w:rsid w:val="00915A05"/>
    <w:rPr>
      <w:rFonts w:cs="Times New Roman"/>
    </w:rPr>
  </w:style>
  <w:style w:type="character" w:customStyle="1" w:styleId="vjs-control-text-loaded-percentage">
    <w:name w:val="vjs-control-text-loaded-percentage"/>
    <w:basedOn w:val="DefaultParagraphFont"/>
    <w:uiPriority w:val="99"/>
    <w:rsid w:val="00915A05"/>
    <w:rPr>
      <w:rFonts w:cs="Times New Roman"/>
    </w:rPr>
  </w:style>
  <w:style w:type="character" w:customStyle="1" w:styleId="vjs-remaining-time-display">
    <w:name w:val="vjs-remaining-time-display"/>
    <w:basedOn w:val="DefaultParagraphFont"/>
    <w:uiPriority w:val="99"/>
    <w:rsid w:val="00915A05"/>
    <w:rPr>
      <w:rFonts w:cs="Times New Roman"/>
    </w:rPr>
  </w:style>
  <w:style w:type="character" w:customStyle="1" w:styleId="rvts23">
    <w:name w:val="rvts23"/>
    <w:basedOn w:val="DefaultParagraphFont"/>
    <w:uiPriority w:val="99"/>
    <w:rsid w:val="00A204FD"/>
    <w:rPr>
      <w:rFonts w:cs="Times New Roman"/>
    </w:rPr>
  </w:style>
  <w:style w:type="character" w:customStyle="1" w:styleId="rvts9">
    <w:name w:val="rvts9"/>
    <w:basedOn w:val="DefaultParagraphFont"/>
    <w:uiPriority w:val="99"/>
    <w:rsid w:val="00A204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F1E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E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E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E8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F1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F1E8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uiPriority w:val="99"/>
    <w:rsid w:val="005F1E85"/>
    <w:rPr>
      <w:rFonts w:cs="Times New Roman"/>
    </w:rPr>
  </w:style>
  <w:style w:type="character" w:styleId="PageNumber">
    <w:name w:val="page number"/>
    <w:basedOn w:val="DefaultParagraphFont"/>
    <w:uiPriority w:val="99"/>
    <w:rsid w:val="008F4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971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2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71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70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ownloads/%D0%9C%D1%96%D1%80%D0%BE%D1%88%D0%BD%D0%B8%D1%87%D0%B5%D0%BD%D0%BA%D0%BE+%D0%9E%D0%BB%D0%B5%D0%BA%D1%81%D0%B0%D0%BD%D0%B4%D1%80+%D0%92%D1%96%D0%BA%D1%82%D0%BE%D1%80%D0%BE%D0%B2%D0%B8%D1%87.pdf" TargetMode="External"/><Relationship Id="rId13" Type="http://schemas.openxmlformats.org/officeDocument/2006/relationships/hyperlink" Target="https://zakon.rada.gov.ua/laws/show/507-2019-%D0%BF/ed20230722" TargetMode="External"/><Relationship Id="rId18" Type="http://schemas.openxmlformats.org/officeDocument/2006/relationships/hyperlink" Target="https://kse.ua/wp-content/uploads/2022/07/NRC_CLEAN_Final_Jul1_Losses-and-Needs-%20Repor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zakon.rada.gov.ua/laws/show/326-2022-%D0%BF" TargetMode="External"/><Relationship Id="rId12" Type="http://schemas.openxmlformats.org/officeDocument/2006/relationships/hyperlink" Target="https://zakon.rada.gov.ua/laws/show/z0562-23" TargetMode="External"/><Relationship Id="rId17" Type="http://schemas.openxmlformats.org/officeDocument/2006/relationships/hyperlink" Target="https://mtu.gov.ua/news/35306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https://zakon.rada.gov.ua/laws/show/z0196-21" TargetMode="External"/><Relationship Id="rId20" Type="http://schemas.openxmlformats.org/officeDocument/2006/relationships/hyperlink" Target="https://zakon.rada.gov.ua/laws/show/z0733-23?find=1&amp;text=%D1%81%D1%83%D0%B1%D1%94%27%D1%94%D0%BA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834-19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0196-21/ed202012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akon.rada.gov.ua/laws/show/1834-19" TargetMode="External"/><Relationship Id="rId19" Type="http://schemas.openxmlformats.org/officeDocument/2006/relationships/hyperlink" Target="https://zakon.rada.gov.ua/laws/show/326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54-2018-%D0%BF" TargetMode="External"/><Relationship Id="rId14" Type="http://schemas.openxmlformats.org/officeDocument/2006/relationships/hyperlink" Target="URL:https://zakon.rada.gov.ua/laws/show/507-2019-%D0%B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2826</Words>
  <Characters>16114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ОЦІНЮВАННЯ ІНФРАСТРУКТУРНОЇ СПРОМОЖНОСТІ МІСЦЕВОГО САМОВРЯДУВАННЯ ЯК ФАКТОР СТІЙКОСТІ ГРОМАД В УМОВАХ </dc:title>
  <dc:subject/>
  <dc:creator>User</dc:creator>
  <cp:keywords/>
  <dc:description/>
  <cp:lastModifiedBy>Пользователь Windows</cp:lastModifiedBy>
  <cp:revision>3</cp:revision>
  <dcterms:created xsi:type="dcterms:W3CDTF">2025-02-12T10:10:00Z</dcterms:created>
  <dcterms:modified xsi:type="dcterms:W3CDTF">2025-02-12T10:15:00Z</dcterms:modified>
</cp:coreProperties>
</file>