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54C" w:rsidRPr="00507B32" w:rsidRDefault="0082554C" w:rsidP="009B383A">
      <w:pPr>
        <w:jc w:val="center"/>
        <w:rPr>
          <w:b/>
          <w:caps/>
          <w:lang w:val="uk-UA"/>
        </w:rPr>
      </w:pPr>
      <w:r>
        <w:rPr>
          <w:b/>
          <w:bCs/>
          <w:color w:val="222222"/>
          <w:shd w:val="clear" w:color="auto" w:fill="FFFFFF"/>
          <w:lang w:val="uk-UA" w:eastAsia="en-US"/>
        </w:rPr>
        <w:t>ТЕХНІКО-ЕКОНОМІЧНІ ПАРАМЕТРИ ГІБРИДНОЇ СИСТЕМИ ТЕПЛОПОСТАЧАННЯ</w:t>
      </w:r>
    </w:p>
    <w:p w:rsidR="0082554C" w:rsidRPr="00802AB5" w:rsidRDefault="0082554C" w:rsidP="00B34D82">
      <w:pPr>
        <w:jc w:val="center"/>
        <w:rPr>
          <w:b/>
          <w:caps/>
          <w:lang w:val="uk-UA"/>
        </w:rPr>
      </w:pPr>
    </w:p>
    <w:p w:rsidR="0082554C" w:rsidRPr="00DA7FEF" w:rsidRDefault="0082554C" w:rsidP="00A35215">
      <w:pPr>
        <w:jc w:val="center"/>
        <w:rPr>
          <w:b/>
          <w:lang w:val="uk-UA"/>
        </w:rPr>
      </w:pPr>
      <w:r w:rsidRPr="005202F8">
        <w:rPr>
          <w:b/>
          <w:lang w:val="en-GB"/>
        </w:rPr>
        <w:t>TECHNO-ECONOMIC PARAMETERS OF A HYBRID HEAT SUPPLY SYSTEM</w:t>
      </w:r>
    </w:p>
    <w:p w:rsidR="0082554C" w:rsidRPr="00802AB5" w:rsidRDefault="0082554C" w:rsidP="00A35215">
      <w:pPr>
        <w:jc w:val="center"/>
        <w:rPr>
          <w:b/>
          <w:caps/>
          <w:lang w:val="uk-UA"/>
        </w:rPr>
      </w:pPr>
    </w:p>
    <w:p w:rsidR="0082554C" w:rsidRPr="00802AB5" w:rsidRDefault="0082554C" w:rsidP="00854678">
      <w:pPr>
        <w:jc w:val="center"/>
        <w:rPr>
          <w:lang w:val="uk-UA"/>
        </w:rPr>
      </w:pPr>
      <w:r w:rsidRPr="00802AB5">
        <w:rPr>
          <w:lang w:val="uk-UA"/>
        </w:rPr>
        <w:t xml:space="preserve">Науковий керівник: </w:t>
      </w:r>
      <w:r>
        <w:rPr>
          <w:lang w:val="uk-UA"/>
        </w:rPr>
        <w:t>д</w:t>
      </w:r>
      <w:r w:rsidRPr="0090289C">
        <w:rPr>
          <w:lang w:val="uk-UA"/>
        </w:rPr>
        <w:t xml:space="preserve">октор технічних наук, професор </w:t>
      </w:r>
      <w:r w:rsidRPr="00802AB5">
        <w:rPr>
          <w:lang w:val="uk-UA"/>
        </w:rPr>
        <w:t xml:space="preserve">кафедри </w:t>
      </w:r>
      <w:r w:rsidRPr="00802AB5">
        <w:rPr>
          <w:lang w:val="uk-UA"/>
        </w:rPr>
        <w:br/>
        <w:t>теоретичної, загальної та нетрадиційної енергетики</w:t>
      </w:r>
      <w:r w:rsidRPr="00802AB5">
        <w:rPr>
          <w:lang w:val="uk-UA"/>
        </w:rPr>
        <w:br/>
      </w:r>
      <w:r w:rsidRPr="0090289C">
        <w:rPr>
          <w:lang w:val="uk-UA"/>
        </w:rPr>
        <w:t>Денисова Алла Євсіївна</w:t>
      </w:r>
    </w:p>
    <w:p w:rsidR="0082554C" w:rsidRPr="00802AB5" w:rsidRDefault="0082554C" w:rsidP="00854678">
      <w:pPr>
        <w:jc w:val="center"/>
        <w:rPr>
          <w:lang w:val="uk-UA"/>
        </w:rPr>
      </w:pPr>
      <w:r w:rsidRPr="00352632">
        <w:t>Бакалавр</w:t>
      </w:r>
      <w:r>
        <w:rPr>
          <w:lang w:val="uk-UA"/>
        </w:rPr>
        <w:t xml:space="preserve"> </w:t>
      </w:r>
      <w:r w:rsidRPr="00DA7FEF">
        <w:rPr>
          <w:lang w:val="uk-UA"/>
        </w:rPr>
        <w:t>Червонюк Ілля Валерійович</w:t>
      </w:r>
    </w:p>
    <w:p w:rsidR="0082554C" w:rsidRPr="00802AB5" w:rsidRDefault="0082554C" w:rsidP="00854678">
      <w:pPr>
        <w:jc w:val="center"/>
        <w:rPr>
          <w:lang w:val="uk-UA"/>
        </w:rPr>
      </w:pPr>
    </w:p>
    <w:p w:rsidR="0082554C" w:rsidRPr="00802AB5" w:rsidRDefault="0082554C" w:rsidP="00854678">
      <w:pPr>
        <w:jc w:val="center"/>
        <w:rPr>
          <w:lang w:val="uk-UA"/>
        </w:rPr>
      </w:pPr>
      <w:r w:rsidRPr="00802AB5">
        <w:rPr>
          <w:color w:val="202124"/>
          <w:shd w:val="clear" w:color="auto" w:fill="FFFFFF"/>
          <w:lang w:val="uk-UA"/>
        </w:rPr>
        <w:t xml:space="preserve">Supervisor: </w:t>
      </w:r>
      <w:r w:rsidRPr="005202F8">
        <w:rPr>
          <w:lang w:val="en-GB"/>
        </w:rPr>
        <w:t>Doctor of Technical Sciences, Professor</w:t>
      </w:r>
      <w:r w:rsidRPr="00802AB5">
        <w:rPr>
          <w:lang w:val="uk-UA"/>
        </w:rPr>
        <w:t xml:space="preserve"> of the Department of </w:t>
      </w:r>
      <w:r w:rsidRPr="00802AB5">
        <w:rPr>
          <w:lang w:val="uk-UA"/>
        </w:rPr>
        <w:br/>
        <w:t>Theoretical General and Nonconventional Power Engineering</w:t>
      </w:r>
      <w:r>
        <w:rPr>
          <w:lang w:val="uk-UA"/>
        </w:rPr>
        <w:t xml:space="preserve"> </w:t>
      </w:r>
      <w:r>
        <w:rPr>
          <w:lang w:val="uk-UA"/>
        </w:rPr>
        <w:br/>
      </w:r>
      <w:r w:rsidRPr="003B51B4">
        <w:rPr>
          <w:lang w:val="uk-UA"/>
        </w:rPr>
        <w:t>Denysova Alla</w:t>
      </w:r>
    </w:p>
    <w:p w:rsidR="0082554C" w:rsidRPr="00802AB5" w:rsidRDefault="0082554C" w:rsidP="00854678">
      <w:pPr>
        <w:tabs>
          <w:tab w:val="left" w:pos="540"/>
        </w:tabs>
        <w:jc w:val="center"/>
        <w:rPr>
          <w:lang w:val="uk-UA"/>
        </w:rPr>
      </w:pPr>
      <w:r w:rsidRPr="00352632">
        <w:rPr>
          <w:shd w:val="clear" w:color="auto" w:fill="FFFFFF"/>
          <w:lang w:val="en-US"/>
        </w:rPr>
        <w:t>Bachelor</w:t>
      </w:r>
      <w:r w:rsidRPr="005202F8">
        <w:rPr>
          <w:lang w:val="uk-UA"/>
        </w:rPr>
        <w:t xml:space="preserve"> </w:t>
      </w:r>
      <w:r w:rsidRPr="002F52CA">
        <w:rPr>
          <w:lang w:val="uk-UA"/>
        </w:rPr>
        <w:t>Chervoniuk Illia</w:t>
      </w:r>
    </w:p>
    <w:p w:rsidR="0082554C" w:rsidRPr="00783CE4" w:rsidRDefault="0082554C" w:rsidP="00B34D82">
      <w:pPr>
        <w:jc w:val="center"/>
        <w:rPr>
          <w:lang w:val="uk-UA"/>
        </w:rPr>
      </w:pPr>
    </w:p>
    <w:p w:rsidR="0082554C" w:rsidRPr="00D97DBD" w:rsidRDefault="0082554C" w:rsidP="00B84F13">
      <w:pPr>
        <w:tabs>
          <w:tab w:val="left" w:pos="540"/>
        </w:tabs>
        <w:ind w:firstLine="709"/>
        <w:jc w:val="both"/>
        <w:rPr>
          <w:lang w:val="uk-UA"/>
        </w:rPr>
      </w:pPr>
      <w:r w:rsidRPr="000C3E3E">
        <w:rPr>
          <w:b/>
          <w:lang w:val="uk-UA"/>
        </w:rPr>
        <w:t xml:space="preserve">Анотація: </w:t>
      </w:r>
      <w:r w:rsidRPr="00D97DBD">
        <w:rPr>
          <w:lang w:val="uk-UA"/>
        </w:rPr>
        <w:t>Проаналізовано техніко-економічні параметри гібридної системи теплопостачання, яка включає тепловий насос, геліосистему, пелетний котел та газовий котел. Основне теплове навантаження упродовж опалювального періоду покриває тепловий насос, тоді як геліосистема забезпечує близько 10% теплоти. Наведено графік частки заміщення теплоти різними джерелами. Проведено техніко-економічний аналіз варіантів системи: розраховано теплову потужність, капітальні та експлуатаційні витрати, термін окупності, річну економію. Результати свідчать про ефективність гібридного варіанту з тепловим насосом, що має короткий термін окупності (2,3 роки) та найвищу річну економію.</w:t>
      </w:r>
    </w:p>
    <w:p w:rsidR="0082554C" w:rsidRPr="00D97DBD" w:rsidRDefault="0082554C" w:rsidP="00B84F13">
      <w:pPr>
        <w:ind w:firstLine="709"/>
        <w:contextualSpacing/>
        <w:jc w:val="both"/>
        <w:rPr>
          <w:lang w:val="uk-UA"/>
        </w:rPr>
      </w:pPr>
      <w:r w:rsidRPr="00D97DBD">
        <w:rPr>
          <w:b/>
          <w:lang w:val="uk-UA"/>
        </w:rPr>
        <w:t xml:space="preserve">Ключові слова: </w:t>
      </w:r>
      <w:r w:rsidRPr="00D97DBD">
        <w:rPr>
          <w:lang w:val="uk-UA"/>
        </w:rPr>
        <w:t>гібридне теплопостачання, тепловий насос, геліосистема, енергоефективність, капітальні витрати, окупність.</w:t>
      </w:r>
    </w:p>
    <w:p w:rsidR="0082554C" w:rsidRPr="00507B32" w:rsidRDefault="0082554C" w:rsidP="00B84F13">
      <w:pPr>
        <w:ind w:firstLine="709"/>
        <w:contextualSpacing/>
        <w:jc w:val="both"/>
        <w:rPr>
          <w:b/>
          <w:highlight w:val="lightGray"/>
          <w:lang w:val="uk-UA"/>
        </w:rPr>
      </w:pPr>
      <w:r w:rsidRPr="00802AB5">
        <w:rPr>
          <w:b/>
          <w:caps/>
          <w:shd w:val="clear" w:color="auto" w:fill="FFFFFF"/>
          <w:lang w:val="uk-UA"/>
        </w:rPr>
        <w:t>A</w:t>
      </w:r>
      <w:r w:rsidRPr="00802AB5">
        <w:rPr>
          <w:b/>
          <w:shd w:val="clear" w:color="auto" w:fill="FFFFFF"/>
          <w:lang w:val="uk-UA"/>
        </w:rPr>
        <w:t xml:space="preserve">nnotation: </w:t>
      </w:r>
      <w:r w:rsidRPr="005202F8">
        <w:rPr>
          <w:lang w:val="en-GB"/>
        </w:rPr>
        <w:t>The techno-economic parameters of a hybrid heat supply system comprising a heat pump, solar thermal system, pellet boiler, and gas boiler are analyzed. During the heating season, the primary thermal load is covered by the heat pump, while the solar system provides approximately 10% of the total heat demand. A graph of heat substitution shares by various sources is presented. A techno-economic analysis of different system configurations was conducted, including calculations of thermal capacity, capital and operational costs, payback period, and annual savings. The results demonstrate the effectiveness of the hybrid system with a heat pump, which features a short payback period (2.3 years) and the highest annual savings.</w:t>
      </w:r>
    </w:p>
    <w:p w:rsidR="0082554C" w:rsidRPr="00802AB5" w:rsidRDefault="0082554C" w:rsidP="00B84F13">
      <w:pPr>
        <w:ind w:firstLine="709"/>
        <w:contextualSpacing/>
        <w:jc w:val="both"/>
        <w:rPr>
          <w:b/>
          <w:highlight w:val="lightGray"/>
          <w:lang w:val="uk-UA"/>
        </w:rPr>
      </w:pPr>
      <w:r w:rsidRPr="00802AB5">
        <w:rPr>
          <w:b/>
          <w:shd w:val="clear" w:color="auto" w:fill="FFFFFF"/>
          <w:lang w:val="uk-UA"/>
        </w:rPr>
        <w:t xml:space="preserve">Keywords: </w:t>
      </w:r>
      <w:r w:rsidRPr="005202F8">
        <w:rPr>
          <w:lang w:val="en-GB"/>
        </w:rPr>
        <w:t>hybrid heat supply, heat pump, solar system, energy efficiency, capital cost, payback period</w:t>
      </w:r>
      <w:r w:rsidRPr="00802AB5">
        <w:rPr>
          <w:lang w:val="uk-UA"/>
        </w:rPr>
        <w:t>.</w:t>
      </w:r>
    </w:p>
    <w:p w:rsidR="0082554C" w:rsidRPr="00802AB5" w:rsidRDefault="0082554C" w:rsidP="00F351CC">
      <w:pPr>
        <w:ind w:firstLine="709"/>
        <w:jc w:val="both"/>
        <w:rPr>
          <w:lang w:val="uk-UA"/>
        </w:rPr>
      </w:pPr>
    </w:p>
    <w:p w:rsidR="0082554C" w:rsidRDefault="0082554C" w:rsidP="002B2D9F">
      <w:pPr>
        <w:ind w:firstLine="709"/>
        <w:jc w:val="both"/>
        <w:rPr>
          <w:spacing w:val="-1"/>
          <w:lang w:val="uk-UA" w:eastAsia="en-US"/>
        </w:rPr>
      </w:pPr>
      <w:r>
        <w:rPr>
          <w:spacing w:val="-1"/>
          <w:lang w:val="uk-UA" w:eastAsia="en-US"/>
        </w:rPr>
        <w:t>Основні джерела теплоти гібридного теплопостачання: тепловий насос (ТН);  пелетний котел, піч, піролізний котел; газовий котел; геліосистема (СК). Режими роботи джерел теплоти залежать від температури зовнішнього повітря та режими роботи системи опалення. Графіки частки заміщення теплоти різними  джерелами комбінованої системи теплопостачання наведено на рисунку 1, звідки видно, що основне навантаження системи припадає на тепловий насос, а геліосистема здатна покрити не більше 10 % потреб протягом опалювального періоду.</w:t>
      </w:r>
    </w:p>
    <w:p w:rsidR="0082554C" w:rsidRDefault="0082554C" w:rsidP="002B2D9F">
      <w:pPr>
        <w:ind w:firstLine="567"/>
        <w:jc w:val="both"/>
        <w:rPr>
          <w:spacing w:val="-1"/>
          <w:lang w:val="uk-UA" w:eastAsia="en-US"/>
        </w:rPr>
      </w:pPr>
    </w:p>
    <w:p w:rsidR="0082554C" w:rsidRDefault="0082554C" w:rsidP="002B2D9F">
      <w:pPr>
        <w:jc w:val="center"/>
      </w:pPr>
      <w:r w:rsidRPr="00151882">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6.25pt;height:155.25pt;visibility:visible">
            <v:imagedata r:id="rId7" o:title=""/>
          </v:shape>
        </w:pict>
      </w:r>
    </w:p>
    <w:p w:rsidR="0082554C" w:rsidRDefault="0082554C" w:rsidP="002B2D9F">
      <w:pPr>
        <w:jc w:val="center"/>
        <w:rPr>
          <w:lang w:val="uk-UA" w:eastAsia="en-US"/>
        </w:rPr>
      </w:pPr>
    </w:p>
    <w:p w:rsidR="0082554C" w:rsidRPr="002B2D9F" w:rsidRDefault="0082554C" w:rsidP="002B2D9F">
      <w:pPr>
        <w:jc w:val="center"/>
        <w:rPr>
          <w:b/>
          <w:lang w:val="uk-UA"/>
        </w:rPr>
      </w:pPr>
      <w:r w:rsidRPr="002B2D9F">
        <w:rPr>
          <w:b/>
          <w:lang w:val="uk-UA"/>
        </w:rPr>
        <w:t>Рис. 1.</w:t>
      </w:r>
      <w:r w:rsidRPr="002B2D9F">
        <w:rPr>
          <w:b/>
        </w:rPr>
        <w:t xml:space="preserve"> </w:t>
      </w:r>
      <w:r w:rsidRPr="002B2D9F">
        <w:rPr>
          <w:b/>
          <w:lang w:val="uk-UA"/>
        </w:rPr>
        <w:t xml:space="preserve">Частки заміщення теплоти різними </w:t>
      </w:r>
    </w:p>
    <w:p w:rsidR="0082554C" w:rsidRPr="002B2D9F" w:rsidRDefault="0082554C" w:rsidP="002B2D9F">
      <w:pPr>
        <w:jc w:val="center"/>
        <w:rPr>
          <w:b/>
          <w:lang w:val="uk-UA"/>
        </w:rPr>
      </w:pPr>
      <w:r w:rsidRPr="002B2D9F">
        <w:rPr>
          <w:b/>
          <w:lang w:val="uk-UA"/>
        </w:rPr>
        <w:t>джерелами гібридної системи теплопостачання</w:t>
      </w:r>
    </w:p>
    <w:p w:rsidR="0082554C" w:rsidRDefault="0082554C" w:rsidP="002B2D9F">
      <w:pPr>
        <w:ind w:firstLine="360"/>
        <w:rPr>
          <w:lang w:val="uk-UA"/>
        </w:rPr>
      </w:pPr>
    </w:p>
    <w:p w:rsidR="0082554C" w:rsidRDefault="0082554C" w:rsidP="002B2D9F">
      <w:pPr>
        <w:ind w:firstLine="360"/>
        <w:rPr>
          <w:lang w:val="uk-UA"/>
        </w:rPr>
      </w:pPr>
      <w:r>
        <w:rPr>
          <w:lang w:val="uk-UA"/>
        </w:rPr>
        <w:t>Техніко-економічні показники гібридної системи</w:t>
      </w:r>
      <w:r>
        <w:t xml:space="preserve"> </w:t>
      </w:r>
      <w:r>
        <w:rPr>
          <w:lang w:val="uk-UA"/>
        </w:rPr>
        <w:t>за опалювальний період наведено в таблиці 1</w:t>
      </w:r>
    </w:p>
    <w:p w:rsidR="0082554C" w:rsidRDefault="0082554C" w:rsidP="002B2D9F">
      <w:pPr>
        <w:ind w:firstLine="360"/>
        <w:jc w:val="center"/>
        <w:rPr>
          <w:lang w:val="uk-UA"/>
        </w:rPr>
      </w:pPr>
    </w:p>
    <w:p w:rsidR="0082554C" w:rsidRPr="002B2D9F" w:rsidRDefault="0082554C" w:rsidP="002B2D9F">
      <w:pPr>
        <w:ind w:firstLine="360"/>
        <w:jc w:val="right"/>
        <w:rPr>
          <w:b/>
          <w:lang w:val="uk-UA"/>
        </w:rPr>
      </w:pPr>
      <w:r w:rsidRPr="002B2D9F">
        <w:rPr>
          <w:b/>
          <w:lang w:val="uk-UA"/>
        </w:rPr>
        <w:t>Таблиця 1</w:t>
      </w:r>
    </w:p>
    <w:p w:rsidR="0082554C" w:rsidRPr="002B2D9F" w:rsidRDefault="0082554C" w:rsidP="002B2D9F">
      <w:pPr>
        <w:ind w:firstLine="360"/>
        <w:jc w:val="center"/>
        <w:rPr>
          <w:b/>
          <w:lang w:val="uk-UA"/>
        </w:rPr>
      </w:pPr>
      <w:r w:rsidRPr="002B2D9F">
        <w:rPr>
          <w:b/>
          <w:lang w:val="uk-UA"/>
        </w:rPr>
        <w:t>ТЕП гібридної системи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4473"/>
        <w:gridCol w:w="1701"/>
        <w:gridCol w:w="1556"/>
        <w:gridCol w:w="1415"/>
      </w:tblGrid>
      <w:tr w:rsidR="0082554C" w:rsidTr="008A377C">
        <w:trPr>
          <w:trHeight w:val="383"/>
        </w:trPr>
        <w:tc>
          <w:tcPr>
            <w:tcW w:w="484" w:type="dxa"/>
            <w:vMerge w:val="restart"/>
          </w:tcPr>
          <w:p w:rsidR="0082554C" w:rsidRDefault="0082554C" w:rsidP="008A377C">
            <w:pPr>
              <w:jc w:val="center"/>
              <w:rPr>
                <w:lang w:val="uk-UA"/>
              </w:rPr>
            </w:pPr>
            <w:r>
              <w:rPr>
                <w:lang w:val="uk-UA"/>
              </w:rPr>
              <w:t>№</w:t>
            </w:r>
          </w:p>
        </w:tc>
        <w:tc>
          <w:tcPr>
            <w:tcW w:w="4473" w:type="dxa"/>
            <w:vMerge w:val="restart"/>
          </w:tcPr>
          <w:p w:rsidR="0082554C" w:rsidRDefault="0082554C" w:rsidP="008A377C">
            <w:pPr>
              <w:jc w:val="center"/>
              <w:rPr>
                <w:lang w:val="uk-UA"/>
              </w:rPr>
            </w:pPr>
            <w:r>
              <w:rPr>
                <w:lang w:val="uk-UA"/>
              </w:rPr>
              <w:t>Найменування показника</w:t>
            </w:r>
          </w:p>
        </w:tc>
        <w:tc>
          <w:tcPr>
            <w:tcW w:w="4672" w:type="dxa"/>
            <w:gridSpan w:val="3"/>
          </w:tcPr>
          <w:p w:rsidR="0082554C" w:rsidRDefault="0082554C" w:rsidP="008A377C">
            <w:pPr>
              <w:jc w:val="center"/>
              <w:rPr>
                <w:lang w:val="uk-UA"/>
              </w:rPr>
            </w:pPr>
            <w:r>
              <w:rPr>
                <w:lang w:val="uk-UA"/>
              </w:rPr>
              <w:t>Величина показника по варіантам</w:t>
            </w:r>
          </w:p>
        </w:tc>
      </w:tr>
      <w:tr w:rsidR="0082554C" w:rsidTr="008A377C">
        <w:trPr>
          <w:trHeight w:val="285"/>
        </w:trPr>
        <w:tc>
          <w:tcPr>
            <w:tcW w:w="484" w:type="dxa"/>
            <w:vMerge/>
          </w:tcPr>
          <w:p w:rsidR="0082554C" w:rsidRDefault="0082554C" w:rsidP="008A377C">
            <w:pPr>
              <w:jc w:val="center"/>
              <w:rPr>
                <w:lang w:val="uk-UA"/>
              </w:rPr>
            </w:pPr>
          </w:p>
        </w:tc>
        <w:tc>
          <w:tcPr>
            <w:tcW w:w="4473" w:type="dxa"/>
            <w:vMerge/>
          </w:tcPr>
          <w:p w:rsidR="0082554C" w:rsidRDefault="0082554C" w:rsidP="008A377C">
            <w:pPr>
              <w:jc w:val="center"/>
              <w:rPr>
                <w:lang w:val="uk-UA"/>
              </w:rPr>
            </w:pPr>
          </w:p>
        </w:tc>
        <w:tc>
          <w:tcPr>
            <w:tcW w:w="1701" w:type="dxa"/>
            <w:vMerge w:val="restart"/>
          </w:tcPr>
          <w:p w:rsidR="0082554C" w:rsidRDefault="0082554C" w:rsidP="008A377C">
            <w:pPr>
              <w:jc w:val="center"/>
              <w:rPr>
                <w:lang w:val="uk-UA"/>
              </w:rPr>
            </w:pPr>
            <w:r>
              <w:rPr>
                <w:lang w:val="uk-UA"/>
              </w:rPr>
              <w:t>Базовий</w:t>
            </w:r>
          </w:p>
          <w:p w:rsidR="0082554C" w:rsidRDefault="0082554C" w:rsidP="008A377C">
            <w:pPr>
              <w:jc w:val="center"/>
              <w:rPr>
                <w:lang w:val="uk-UA"/>
              </w:rPr>
            </w:pPr>
            <w:r>
              <w:rPr>
                <w:lang w:val="uk-UA"/>
              </w:rPr>
              <w:t>варіант</w:t>
            </w:r>
          </w:p>
        </w:tc>
        <w:tc>
          <w:tcPr>
            <w:tcW w:w="2971" w:type="dxa"/>
            <w:gridSpan w:val="2"/>
          </w:tcPr>
          <w:p w:rsidR="0082554C" w:rsidRDefault="0082554C" w:rsidP="008A377C">
            <w:pPr>
              <w:jc w:val="center"/>
              <w:rPr>
                <w:lang w:val="uk-UA"/>
              </w:rPr>
            </w:pPr>
            <w:r>
              <w:rPr>
                <w:lang w:val="uk-UA"/>
              </w:rPr>
              <w:t>Гібридний</w:t>
            </w:r>
          </w:p>
        </w:tc>
      </w:tr>
      <w:tr w:rsidR="0082554C" w:rsidTr="008A377C">
        <w:trPr>
          <w:trHeight w:val="285"/>
        </w:trPr>
        <w:tc>
          <w:tcPr>
            <w:tcW w:w="484" w:type="dxa"/>
            <w:vMerge/>
          </w:tcPr>
          <w:p w:rsidR="0082554C" w:rsidRDefault="0082554C" w:rsidP="008A377C">
            <w:pPr>
              <w:jc w:val="center"/>
              <w:rPr>
                <w:lang w:val="uk-UA"/>
              </w:rPr>
            </w:pPr>
          </w:p>
        </w:tc>
        <w:tc>
          <w:tcPr>
            <w:tcW w:w="4473" w:type="dxa"/>
            <w:vMerge/>
          </w:tcPr>
          <w:p w:rsidR="0082554C" w:rsidRDefault="0082554C" w:rsidP="008A377C">
            <w:pPr>
              <w:jc w:val="center"/>
              <w:rPr>
                <w:lang w:val="uk-UA"/>
              </w:rPr>
            </w:pPr>
          </w:p>
        </w:tc>
        <w:tc>
          <w:tcPr>
            <w:tcW w:w="1701" w:type="dxa"/>
            <w:vMerge/>
          </w:tcPr>
          <w:p w:rsidR="0082554C" w:rsidRDefault="0082554C" w:rsidP="008A377C">
            <w:pPr>
              <w:jc w:val="center"/>
              <w:rPr>
                <w:lang w:val="uk-UA"/>
              </w:rPr>
            </w:pPr>
          </w:p>
        </w:tc>
        <w:tc>
          <w:tcPr>
            <w:tcW w:w="1556" w:type="dxa"/>
          </w:tcPr>
          <w:p w:rsidR="0082554C" w:rsidRDefault="0082554C" w:rsidP="008A377C">
            <w:pPr>
              <w:jc w:val="center"/>
              <w:rPr>
                <w:lang w:val="uk-UA"/>
              </w:rPr>
            </w:pPr>
            <w:r>
              <w:rPr>
                <w:lang w:val="uk-UA"/>
              </w:rPr>
              <w:t>СК</w:t>
            </w:r>
          </w:p>
        </w:tc>
        <w:tc>
          <w:tcPr>
            <w:tcW w:w="1415" w:type="dxa"/>
          </w:tcPr>
          <w:p w:rsidR="0082554C" w:rsidRDefault="0082554C" w:rsidP="008A377C">
            <w:pPr>
              <w:jc w:val="center"/>
              <w:rPr>
                <w:lang w:val="uk-UA"/>
              </w:rPr>
            </w:pPr>
            <w:r>
              <w:rPr>
                <w:lang w:val="uk-UA"/>
              </w:rPr>
              <w:t>ТН</w:t>
            </w:r>
          </w:p>
        </w:tc>
      </w:tr>
      <w:tr w:rsidR="0082554C" w:rsidTr="008A377C">
        <w:tc>
          <w:tcPr>
            <w:tcW w:w="484" w:type="dxa"/>
          </w:tcPr>
          <w:p w:rsidR="0082554C" w:rsidRDefault="0082554C" w:rsidP="008A377C">
            <w:pPr>
              <w:jc w:val="center"/>
              <w:rPr>
                <w:lang w:val="uk-UA"/>
              </w:rPr>
            </w:pPr>
            <w:r>
              <w:rPr>
                <w:lang w:val="uk-UA"/>
              </w:rPr>
              <w:t>1</w:t>
            </w:r>
          </w:p>
        </w:tc>
        <w:tc>
          <w:tcPr>
            <w:tcW w:w="4473" w:type="dxa"/>
          </w:tcPr>
          <w:p w:rsidR="0082554C" w:rsidRDefault="0082554C" w:rsidP="008A377C">
            <w:pPr>
              <w:rPr>
                <w:lang w:val="uk-UA"/>
              </w:rPr>
            </w:pPr>
            <w:r>
              <w:rPr>
                <w:lang w:val="uk-UA"/>
              </w:rPr>
              <w:t>Теплова потужність, МДж</w:t>
            </w:r>
          </w:p>
        </w:tc>
        <w:tc>
          <w:tcPr>
            <w:tcW w:w="1701" w:type="dxa"/>
          </w:tcPr>
          <w:p w:rsidR="0082554C" w:rsidRDefault="0082554C" w:rsidP="008A377C">
            <w:pPr>
              <w:jc w:val="center"/>
              <w:rPr>
                <w:lang w:val="uk-UA"/>
              </w:rPr>
            </w:pPr>
            <w:r>
              <w:rPr>
                <w:lang w:val="uk-UA"/>
              </w:rPr>
              <w:t>566126</w:t>
            </w:r>
          </w:p>
        </w:tc>
        <w:tc>
          <w:tcPr>
            <w:tcW w:w="1556" w:type="dxa"/>
          </w:tcPr>
          <w:p w:rsidR="0082554C" w:rsidRDefault="0082554C" w:rsidP="008A377C">
            <w:pPr>
              <w:jc w:val="center"/>
              <w:rPr>
                <w:lang w:val="uk-UA"/>
              </w:rPr>
            </w:pPr>
            <w:r>
              <w:rPr>
                <w:color w:val="000000"/>
              </w:rPr>
              <w:t>51980</w:t>
            </w:r>
          </w:p>
        </w:tc>
        <w:tc>
          <w:tcPr>
            <w:tcW w:w="1415" w:type="dxa"/>
          </w:tcPr>
          <w:p w:rsidR="0082554C" w:rsidRDefault="0082554C" w:rsidP="008A377C">
            <w:pPr>
              <w:jc w:val="center"/>
              <w:rPr>
                <w:lang w:val="uk-UA"/>
              </w:rPr>
            </w:pPr>
            <w:r>
              <w:rPr>
                <w:color w:val="000000"/>
              </w:rPr>
              <w:t>338017</w:t>
            </w:r>
          </w:p>
        </w:tc>
      </w:tr>
      <w:tr w:rsidR="0082554C" w:rsidTr="008A377C">
        <w:tc>
          <w:tcPr>
            <w:tcW w:w="484" w:type="dxa"/>
          </w:tcPr>
          <w:p w:rsidR="0082554C" w:rsidRDefault="0082554C" w:rsidP="008A377C">
            <w:pPr>
              <w:jc w:val="center"/>
              <w:rPr>
                <w:lang w:val="uk-UA"/>
              </w:rPr>
            </w:pPr>
            <w:r>
              <w:rPr>
                <w:lang w:val="uk-UA"/>
              </w:rPr>
              <w:t>3</w:t>
            </w:r>
          </w:p>
        </w:tc>
        <w:tc>
          <w:tcPr>
            <w:tcW w:w="4473" w:type="dxa"/>
          </w:tcPr>
          <w:p w:rsidR="0082554C" w:rsidRDefault="0082554C" w:rsidP="008A377C">
            <w:pPr>
              <w:rPr>
                <w:lang w:val="uk-UA"/>
              </w:rPr>
            </w:pPr>
            <w:r>
              <w:rPr>
                <w:lang w:val="uk-UA"/>
              </w:rPr>
              <w:t>Капітальні витрати, млн грн</w:t>
            </w:r>
          </w:p>
        </w:tc>
        <w:tc>
          <w:tcPr>
            <w:tcW w:w="1701" w:type="dxa"/>
          </w:tcPr>
          <w:p w:rsidR="0082554C" w:rsidRDefault="0082554C" w:rsidP="008A377C">
            <w:pPr>
              <w:jc w:val="center"/>
              <w:rPr>
                <w:lang w:val="uk-UA"/>
              </w:rPr>
            </w:pPr>
            <w:r>
              <w:rPr>
                <w:lang w:val="uk-UA"/>
              </w:rPr>
              <w:t>2,9</w:t>
            </w:r>
          </w:p>
        </w:tc>
        <w:tc>
          <w:tcPr>
            <w:tcW w:w="1556" w:type="dxa"/>
          </w:tcPr>
          <w:p w:rsidR="0082554C" w:rsidRDefault="0082554C" w:rsidP="008A377C">
            <w:pPr>
              <w:jc w:val="center"/>
              <w:rPr>
                <w:lang w:val="uk-UA"/>
              </w:rPr>
            </w:pPr>
            <w:r>
              <w:rPr>
                <w:lang w:val="uk-UA"/>
              </w:rPr>
              <w:t>0,17</w:t>
            </w:r>
          </w:p>
        </w:tc>
        <w:tc>
          <w:tcPr>
            <w:tcW w:w="1415" w:type="dxa"/>
          </w:tcPr>
          <w:p w:rsidR="0082554C" w:rsidRDefault="0082554C" w:rsidP="008A377C">
            <w:pPr>
              <w:jc w:val="center"/>
              <w:rPr>
                <w:lang w:val="uk-UA"/>
              </w:rPr>
            </w:pPr>
            <w:r>
              <w:rPr>
                <w:lang w:val="uk-UA"/>
              </w:rPr>
              <w:t>1,21</w:t>
            </w:r>
          </w:p>
        </w:tc>
      </w:tr>
      <w:tr w:rsidR="0082554C" w:rsidTr="008A377C">
        <w:tc>
          <w:tcPr>
            <w:tcW w:w="484" w:type="dxa"/>
          </w:tcPr>
          <w:p w:rsidR="0082554C" w:rsidRDefault="0082554C" w:rsidP="008A377C">
            <w:pPr>
              <w:jc w:val="center"/>
              <w:rPr>
                <w:lang w:val="uk-UA"/>
              </w:rPr>
            </w:pPr>
            <w:r>
              <w:rPr>
                <w:lang w:val="uk-UA"/>
              </w:rPr>
              <w:t>4</w:t>
            </w:r>
          </w:p>
        </w:tc>
        <w:tc>
          <w:tcPr>
            <w:tcW w:w="4473" w:type="dxa"/>
          </w:tcPr>
          <w:p w:rsidR="0082554C" w:rsidRDefault="0082554C" w:rsidP="008A377C">
            <w:pPr>
              <w:rPr>
                <w:lang w:val="uk-UA"/>
              </w:rPr>
            </w:pPr>
            <w:r>
              <w:rPr>
                <w:lang w:val="uk-UA"/>
              </w:rPr>
              <w:t>Річні експлуатаційні витрати, грн</w:t>
            </w:r>
          </w:p>
        </w:tc>
        <w:tc>
          <w:tcPr>
            <w:tcW w:w="1701" w:type="dxa"/>
          </w:tcPr>
          <w:p w:rsidR="0082554C" w:rsidRDefault="0082554C" w:rsidP="008A377C">
            <w:pPr>
              <w:jc w:val="center"/>
              <w:rPr>
                <w:lang w:val="uk-UA"/>
              </w:rPr>
            </w:pPr>
            <w:r>
              <w:rPr>
                <w:lang w:val="uk-UA"/>
              </w:rPr>
              <w:t>132685,8</w:t>
            </w:r>
          </w:p>
        </w:tc>
        <w:tc>
          <w:tcPr>
            <w:tcW w:w="1556" w:type="dxa"/>
          </w:tcPr>
          <w:p w:rsidR="0082554C" w:rsidRDefault="0082554C" w:rsidP="008A377C">
            <w:pPr>
              <w:jc w:val="center"/>
              <w:rPr>
                <w:lang w:val="uk-UA"/>
              </w:rPr>
            </w:pPr>
            <w:r>
              <w:rPr>
                <w:lang w:val="uk-UA"/>
              </w:rPr>
              <w:t>1035,44</w:t>
            </w:r>
          </w:p>
        </w:tc>
        <w:tc>
          <w:tcPr>
            <w:tcW w:w="1415" w:type="dxa"/>
          </w:tcPr>
          <w:p w:rsidR="0082554C" w:rsidRDefault="0082554C" w:rsidP="008A377C">
            <w:pPr>
              <w:jc w:val="center"/>
              <w:rPr>
                <w:lang w:val="uk-UA"/>
              </w:rPr>
            </w:pPr>
            <w:r>
              <w:rPr>
                <w:lang w:val="uk-UA"/>
              </w:rPr>
              <w:t>39434</w:t>
            </w:r>
          </w:p>
        </w:tc>
      </w:tr>
      <w:tr w:rsidR="0082554C" w:rsidTr="008A377C">
        <w:trPr>
          <w:trHeight w:val="346"/>
        </w:trPr>
        <w:tc>
          <w:tcPr>
            <w:tcW w:w="484" w:type="dxa"/>
          </w:tcPr>
          <w:p w:rsidR="0082554C" w:rsidRDefault="0082554C" w:rsidP="008A377C">
            <w:pPr>
              <w:jc w:val="center"/>
              <w:rPr>
                <w:lang w:val="uk-UA"/>
              </w:rPr>
            </w:pPr>
            <w:r>
              <w:rPr>
                <w:lang w:val="uk-UA"/>
              </w:rPr>
              <w:t>5</w:t>
            </w:r>
          </w:p>
        </w:tc>
        <w:tc>
          <w:tcPr>
            <w:tcW w:w="4473" w:type="dxa"/>
          </w:tcPr>
          <w:p w:rsidR="0082554C" w:rsidRDefault="0082554C" w:rsidP="008A377C">
            <w:pPr>
              <w:rPr>
                <w:lang w:val="uk-UA"/>
              </w:rPr>
            </w:pPr>
            <w:r>
              <w:rPr>
                <w:lang w:val="uk-UA"/>
              </w:rPr>
              <w:t>Термін окупності, роки</w:t>
            </w:r>
          </w:p>
        </w:tc>
        <w:tc>
          <w:tcPr>
            <w:tcW w:w="1701" w:type="dxa"/>
          </w:tcPr>
          <w:p w:rsidR="0082554C" w:rsidRDefault="0082554C" w:rsidP="008A377C">
            <w:pPr>
              <w:jc w:val="center"/>
              <w:rPr>
                <w:lang w:val="uk-UA"/>
              </w:rPr>
            </w:pPr>
            <w:r>
              <w:rPr>
                <w:lang w:val="uk-UA"/>
              </w:rPr>
              <w:t>-</w:t>
            </w:r>
          </w:p>
        </w:tc>
        <w:tc>
          <w:tcPr>
            <w:tcW w:w="1556" w:type="dxa"/>
          </w:tcPr>
          <w:p w:rsidR="0082554C" w:rsidRDefault="0082554C" w:rsidP="008A377C">
            <w:pPr>
              <w:jc w:val="center"/>
              <w:rPr>
                <w:lang w:val="uk-UA"/>
              </w:rPr>
            </w:pPr>
            <w:r>
              <w:rPr>
                <w:lang w:val="uk-UA"/>
              </w:rPr>
              <w:t>13</w:t>
            </w:r>
          </w:p>
        </w:tc>
        <w:tc>
          <w:tcPr>
            <w:tcW w:w="1415" w:type="dxa"/>
          </w:tcPr>
          <w:p w:rsidR="0082554C" w:rsidRDefault="0082554C" w:rsidP="008A377C">
            <w:pPr>
              <w:jc w:val="center"/>
              <w:rPr>
                <w:lang w:val="uk-UA"/>
              </w:rPr>
            </w:pPr>
            <w:r>
              <w:rPr>
                <w:lang w:val="uk-UA"/>
              </w:rPr>
              <w:t>2,3</w:t>
            </w:r>
          </w:p>
        </w:tc>
      </w:tr>
      <w:tr w:rsidR="0082554C" w:rsidTr="008A377C">
        <w:trPr>
          <w:trHeight w:val="508"/>
        </w:trPr>
        <w:tc>
          <w:tcPr>
            <w:tcW w:w="484" w:type="dxa"/>
          </w:tcPr>
          <w:p w:rsidR="0082554C" w:rsidRDefault="0082554C" w:rsidP="008A377C">
            <w:pPr>
              <w:jc w:val="center"/>
              <w:rPr>
                <w:lang w:val="uk-UA"/>
              </w:rPr>
            </w:pPr>
            <w:r>
              <w:rPr>
                <w:lang w:val="uk-UA"/>
              </w:rPr>
              <w:t>6</w:t>
            </w:r>
          </w:p>
        </w:tc>
        <w:tc>
          <w:tcPr>
            <w:tcW w:w="4473" w:type="dxa"/>
          </w:tcPr>
          <w:p w:rsidR="0082554C" w:rsidRDefault="0082554C" w:rsidP="008A377C">
            <w:pPr>
              <w:rPr>
                <w:lang w:val="uk-UA"/>
              </w:rPr>
            </w:pPr>
            <w:r>
              <w:rPr>
                <w:lang w:val="uk-UA"/>
              </w:rPr>
              <w:t>Річна економія експлуатаційних витрат, тис грн</w:t>
            </w:r>
          </w:p>
        </w:tc>
        <w:tc>
          <w:tcPr>
            <w:tcW w:w="1701" w:type="dxa"/>
          </w:tcPr>
          <w:p w:rsidR="0082554C" w:rsidRDefault="0082554C" w:rsidP="008A377C">
            <w:pPr>
              <w:jc w:val="center"/>
              <w:rPr>
                <w:lang w:val="uk-UA"/>
              </w:rPr>
            </w:pPr>
            <w:r>
              <w:rPr>
                <w:lang w:val="uk-UA"/>
              </w:rPr>
              <w:t>-</w:t>
            </w:r>
          </w:p>
        </w:tc>
        <w:tc>
          <w:tcPr>
            <w:tcW w:w="1556" w:type="dxa"/>
          </w:tcPr>
          <w:p w:rsidR="0082554C" w:rsidRDefault="0082554C" w:rsidP="008A377C">
            <w:pPr>
              <w:jc w:val="center"/>
              <w:rPr>
                <w:lang w:val="uk-UA"/>
              </w:rPr>
            </w:pPr>
            <w:r>
              <w:rPr>
                <w:lang w:val="uk-UA"/>
              </w:rPr>
              <w:t>13071,7</w:t>
            </w:r>
          </w:p>
        </w:tc>
        <w:tc>
          <w:tcPr>
            <w:tcW w:w="1415" w:type="dxa"/>
          </w:tcPr>
          <w:p w:rsidR="0082554C" w:rsidRDefault="0082554C" w:rsidP="008A377C">
            <w:pPr>
              <w:jc w:val="center"/>
              <w:rPr>
                <w:lang w:val="uk-UA"/>
              </w:rPr>
            </w:pPr>
            <w:r>
              <w:rPr>
                <w:lang w:val="uk-UA"/>
              </w:rPr>
              <w:t>532057,9</w:t>
            </w:r>
          </w:p>
        </w:tc>
      </w:tr>
    </w:tbl>
    <w:p w:rsidR="0082554C" w:rsidRPr="00783CE4" w:rsidRDefault="0082554C" w:rsidP="002B2D9F">
      <w:pPr>
        <w:rPr>
          <w:lang w:val="uk-UA"/>
        </w:rPr>
      </w:pPr>
    </w:p>
    <w:p w:rsidR="0082554C" w:rsidRPr="003B51B4" w:rsidRDefault="0082554C" w:rsidP="005622C3">
      <w:pPr>
        <w:contextualSpacing/>
        <w:jc w:val="center"/>
        <w:rPr>
          <w:rStyle w:val="Strong"/>
          <w:lang w:val="uk-UA"/>
        </w:rPr>
      </w:pPr>
      <w:r w:rsidRPr="00802AB5">
        <w:rPr>
          <w:b/>
          <w:lang w:val="uk-UA"/>
        </w:rPr>
        <w:t>Список літератури</w:t>
      </w:r>
    </w:p>
    <w:p w:rsidR="0082554C" w:rsidRPr="002B2D9F" w:rsidRDefault="0082554C" w:rsidP="002B2D9F">
      <w:pPr>
        <w:ind w:left="709" w:hanging="283"/>
        <w:jc w:val="both"/>
        <w:outlineLvl w:val="0"/>
        <w:rPr>
          <w:lang w:val="en-GB" w:eastAsia="ar-SA"/>
        </w:rPr>
      </w:pPr>
      <w:r>
        <w:rPr>
          <w:lang w:val="uk-UA" w:eastAsia="ar-SA"/>
        </w:rPr>
        <w:t>1</w:t>
      </w:r>
      <w:r w:rsidRPr="002B2D9F">
        <w:rPr>
          <w:lang w:val="en-GB" w:eastAsia="ar-SA"/>
        </w:rPr>
        <w:t>. Denysova A., Zhaivoron O. Modelling the efficiency of the combined heat pump system with tank accumulator for permanent and intermittent heating modes of the public buildings // Proceedings of Odessa Polytechnic University. – 2023. – Issue 1 (67). – С. 35–48.</w:t>
      </w:r>
    </w:p>
    <w:p w:rsidR="0082554C" w:rsidRPr="005622C3" w:rsidRDefault="0082554C" w:rsidP="005622C3">
      <w:pPr>
        <w:ind w:left="709" w:hanging="283"/>
        <w:jc w:val="both"/>
        <w:outlineLvl w:val="0"/>
        <w:rPr>
          <w:lang w:val="en-GB" w:eastAsia="ar-SA"/>
        </w:rPr>
      </w:pPr>
    </w:p>
    <w:p w:rsidR="0082554C" w:rsidRPr="005622C3" w:rsidRDefault="0082554C" w:rsidP="002F5C5E">
      <w:pPr>
        <w:ind w:left="709" w:hanging="283"/>
        <w:jc w:val="both"/>
        <w:outlineLvl w:val="0"/>
        <w:rPr>
          <w:bCs/>
          <w:lang w:val="uk-UA"/>
        </w:rPr>
      </w:pPr>
    </w:p>
    <w:sectPr w:rsidR="0082554C" w:rsidRPr="005622C3" w:rsidSect="005202F8">
      <w:headerReference w:type="even" r:id="rId8"/>
      <w:headerReference w:type="default" r:id="rId9"/>
      <w:footerReference w:type="even" r:id="rId10"/>
      <w:footerReference w:type="default" r:id="rId11"/>
      <w:pgSz w:w="11906" w:h="16838"/>
      <w:pgMar w:top="1134" w:right="1134" w:bottom="1134" w:left="1134" w:header="709" w:footer="709" w:gutter="0"/>
      <w:pgNumType w:start="7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54C" w:rsidRDefault="0082554C">
      <w:r>
        <w:separator/>
      </w:r>
    </w:p>
  </w:endnote>
  <w:endnote w:type="continuationSeparator" w:id="1">
    <w:p w:rsidR="0082554C" w:rsidRDefault="008255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Ё¬?"/>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54C" w:rsidRDefault="0082554C" w:rsidP="00132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554C" w:rsidRDefault="0082554C" w:rsidP="005202F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54C" w:rsidRDefault="0082554C" w:rsidP="00132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78</w:t>
    </w:r>
    <w:r>
      <w:rPr>
        <w:rStyle w:val="PageNumber"/>
      </w:rPr>
      <w:fldChar w:fldCharType="end"/>
    </w:r>
  </w:p>
  <w:p w:rsidR="0082554C" w:rsidRDefault="0082554C" w:rsidP="005202F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54C" w:rsidRDefault="0082554C">
      <w:r>
        <w:separator/>
      </w:r>
    </w:p>
  </w:footnote>
  <w:footnote w:type="continuationSeparator" w:id="1">
    <w:p w:rsidR="0082554C" w:rsidRDefault="008255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54C" w:rsidRDefault="0082554C" w:rsidP="001321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554C" w:rsidRDefault="0082554C" w:rsidP="005202F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54C" w:rsidRPr="005432EF" w:rsidRDefault="0082554C" w:rsidP="005202F8">
    <w:pPr>
      <w:tabs>
        <w:tab w:val="left" w:pos="690"/>
        <w:tab w:val="center" w:pos="4677"/>
        <w:tab w:val="right" w:pos="9355"/>
      </w:tabs>
      <w:ind w:right="360"/>
      <w:jc w:val="center"/>
      <w:rPr>
        <w:sz w:val="22"/>
        <w:lang w:val="uk-UA"/>
      </w:rPr>
    </w:pPr>
    <w:r w:rsidRPr="005432EF">
      <w:rPr>
        <w:sz w:val="22"/>
      </w:rPr>
      <w:t>Тези доповідей 60-ої конференції молодих дослідників «Сучасні інформаційні технології та телекомунікаційні мережі» // Одеса: НУОП, 2025, вип. 60</w:t>
    </w:r>
  </w:p>
  <w:p w:rsidR="0082554C" w:rsidRPr="005202F8" w:rsidRDefault="0082554C" w:rsidP="005202F8">
    <w:pPr>
      <w:pStyle w:val="Header"/>
      <w:ind w:right="360"/>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91FAAB"/>
    <w:multiLevelType w:val="singleLevel"/>
    <w:tmpl w:val="8C91FAAB"/>
    <w:lvl w:ilvl="0">
      <w:start w:val="1"/>
      <w:numFmt w:val="decimal"/>
      <w:suff w:val="space"/>
      <w:lvlText w:val="%1."/>
      <w:lvlJc w:val="left"/>
      <w:rPr>
        <w:rFonts w:cs="Times New Roman"/>
      </w:rPr>
    </w:lvl>
  </w:abstractNum>
  <w:abstractNum w:abstractNumId="1">
    <w:nsid w:val="676260D6"/>
    <w:multiLevelType w:val="multilevel"/>
    <w:tmpl w:val="676260D6"/>
    <w:lvl w:ilvl="0">
      <w:start w:val="1"/>
      <w:numFmt w:val="decimal"/>
      <w:lvlText w:val="%1."/>
      <w:lvlJc w:val="left"/>
      <w:pPr>
        <w:ind w:left="1713" w:hanging="360"/>
      </w:pPr>
      <w:rPr>
        <w:rFonts w:cs="Times New Roman" w:hint="default"/>
      </w:rPr>
    </w:lvl>
    <w:lvl w:ilvl="1">
      <w:start w:val="1"/>
      <w:numFmt w:val="decimal"/>
      <w:isLgl/>
      <w:lvlText w:val="%1.%2"/>
      <w:lvlJc w:val="left"/>
      <w:pPr>
        <w:ind w:left="2073" w:hanging="720"/>
      </w:pPr>
      <w:rPr>
        <w:rFonts w:cs="Times New Roman" w:hint="default"/>
      </w:rPr>
    </w:lvl>
    <w:lvl w:ilvl="2">
      <w:start w:val="1"/>
      <w:numFmt w:val="decimal"/>
      <w:isLgl/>
      <w:lvlText w:val="%1.%2.%3"/>
      <w:lvlJc w:val="left"/>
      <w:pPr>
        <w:ind w:left="2073" w:hanging="720"/>
      </w:pPr>
      <w:rPr>
        <w:rFonts w:cs="Times New Roman" w:hint="default"/>
        <w:i w:val="0"/>
      </w:rPr>
    </w:lvl>
    <w:lvl w:ilvl="3">
      <w:start w:val="1"/>
      <w:numFmt w:val="decimal"/>
      <w:isLgl/>
      <w:lvlText w:val="%1.%2.%3.%4"/>
      <w:lvlJc w:val="left"/>
      <w:pPr>
        <w:ind w:left="2433" w:hanging="1080"/>
      </w:pPr>
      <w:rPr>
        <w:rFonts w:cs="Times New Roman" w:hint="default"/>
      </w:rPr>
    </w:lvl>
    <w:lvl w:ilvl="4">
      <w:start w:val="1"/>
      <w:numFmt w:val="decimal"/>
      <w:isLgl/>
      <w:lvlText w:val="%1.%2.%3.%4.%5"/>
      <w:lvlJc w:val="left"/>
      <w:pPr>
        <w:ind w:left="2793" w:hanging="1440"/>
      </w:pPr>
      <w:rPr>
        <w:rFonts w:cs="Times New Roman" w:hint="default"/>
      </w:rPr>
    </w:lvl>
    <w:lvl w:ilvl="5">
      <w:start w:val="1"/>
      <w:numFmt w:val="decimal"/>
      <w:isLgl/>
      <w:lvlText w:val="%1.%2.%3.%4.%5.%6"/>
      <w:lvlJc w:val="left"/>
      <w:pPr>
        <w:ind w:left="2793" w:hanging="1440"/>
      </w:pPr>
      <w:rPr>
        <w:rFonts w:cs="Times New Roman" w:hint="default"/>
      </w:rPr>
    </w:lvl>
    <w:lvl w:ilvl="6">
      <w:start w:val="1"/>
      <w:numFmt w:val="decimal"/>
      <w:isLgl/>
      <w:lvlText w:val="%1.%2.%3.%4.%5.%6.%7"/>
      <w:lvlJc w:val="left"/>
      <w:pPr>
        <w:ind w:left="3153" w:hanging="1800"/>
      </w:pPr>
      <w:rPr>
        <w:rFonts w:cs="Times New Roman" w:hint="default"/>
      </w:rPr>
    </w:lvl>
    <w:lvl w:ilvl="7">
      <w:start w:val="1"/>
      <w:numFmt w:val="decimal"/>
      <w:isLgl/>
      <w:lvlText w:val="%1.%2.%3.%4.%5.%6.%7.%8"/>
      <w:lvlJc w:val="left"/>
      <w:pPr>
        <w:ind w:left="3513" w:hanging="2160"/>
      </w:pPr>
      <w:rPr>
        <w:rFonts w:cs="Times New Roman" w:hint="default"/>
      </w:rPr>
    </w:lvl>
    <w:lvl w:ilvl="8">
      <w:start w:val="1"/>
      <w:numFmt w:val="decimal"/>
      <w:isLgl/>
      <w:lvlText w:val="%1.%2.%3.%4.%5.%6.%7.%8.%9"/>
      <w:lvlJc w:val="left"/>
      <w:pPr>
        <w:ind w:left="3513" w:hanging="2160"/>
      </w:pPr>
      <w:rPr>
        <w:rFonts w:cs="Times New Roman" w:hint="default"/>
      </w:rPr>
    </w:lvl>
  </w:abstractNum>
  <w:abstractNum w:abstractNumId="2">
    <w:nsid w:val="7DC01062"/>
    <w:multiLevelType w:val="hybridMultilevel"/>
    <w:tmpl w:val="5A1A2F6E"/>
    <w:lvl w:ilvl="0" w:tplc="0FB4CDB6">
      <w:start w:val="1"/>
      <w:numFmt w:val="decimal"/>
      <w:lvlText w:val="%1."/>
      <w:lvlJc w:val="left"/>
      <w:pPr>
        <w:ind w:left="338" w:hanging="288"/>
      </w:pPr>
      <w:rPr>
        <w:rFonts w:ascii="Times New Roman" w:eastAsia="Times New Roman" w:hAnsi="Times New Roman" w:cs="Times New Roman" w:hint="default"/>
        <w:b w:val="0"/>
        <w:bCs w:val="0"/>
        <w:i w:val="0"/>
        <w:iCs w:val="0"/>
        <w:spacing w:val="0"/>
        <w:w w:val="99"/>
        <w:sz w:val="28"/>
        <w:szCs w:val="28"/>
      </w:rPr>
    </w:lvl>
    <w:lvl w:ilvl="1" w:tplc="53AEA2B2">
      <w:numFmt w:val="bullet"/>
      <w:lvlText w:val="•"/>
      <w:lvlJc w:val="left"/>
      <w:pPr>
        <w:ind w:left="1386" w:hanging="288"/>
      </w:pPr>
      <w:rPr>
        <w:rFonts w:hint="default"/>
      </w:rPr>
    </w:lvl>
    <w:lvl w:ilvl="2" w:tplc="0730FBBA">
      <w:numFmt w:val="bullet"/>
      <w:lvlText w:val="•"/>
      <w:lvlJc w:val="left"/>
      <w:pPr>
        <w:ind w:left="2432" w:hanging="288"/>
      </w:pPr>
      <w:rPr>
        <w:rFonts w:hint="default"/>
      </w:rPr>
    </w:lvl>
    <w:lvl w:ilvl="3" w:tplc="D0A61EBC">
      <w:numFmt w:val="bullet"/>
      <w:lvlText w:val="•"/>
      <w:lvlJc w:val="left"/>
      <w:pPr>
        <w:ind w:left="3478" w:hanging="288"/>
      </w:pPr>
      <w:rPr>
        <w:rFonts w:hint="default"/>
      </w:rPr>
    </w:lvl>
    <w:lvl w:ilvl="4" w:tplc="5B705330">
      <w:numFmt w:val="bullet"/>
      <w:lvlText w:val="•"/>
      <w:lvlJc w:val="left"/>
      <w:pPr>
        <w:ind w:left="4524" w:hanging="288"/>
      </w:pPr>
      <w:rPr>
        <w:rFonts w:hint="default"/>
      </w:rPr>
    </w:lvl>
    <w:lvl w:ilvl="5" w:tplc="D59424A2">
      <w:numFmt w:val="bullet"/>
      <w:lvlText w:val="•"/>
      <w:lvlJc w:val="left"/>
      <w:pPr>
        <w:ind w:left="5570" w:hanging="288"/>
      </w:pPr>
      <w:rPr>
        <w:rFonts w:hint="default"/>
      </w:rPr>
    </w:lvl>
    <w:lvl w:ilvl="6" w:tplc="D2C8BC64">
      <w:numFmt w:val="bullet"/>
      <w:lvlText w:val="•"/>
      <w:lvlJc w:val="left"/>
      <w:pPr>
        <w:ind w:left="6616" w:hanging="288"/>
      </w:pPr>
      <w:rPr>
        <w:rFonts w:hint="default"/>
      </w:rPr>
    </w:lvl>
    <w:lvl w:ilvl="7" w:tplc="E65CFD66">
      <w:numFmt w:val="bullet"/>
      <w:lvlText w:val="•"/>
      <w:lvlJc w:val="left"/>
      <w:pPr>
        <w:ind w:left="7662" w:hanging="288"/>
      </w:pPr>
      <w:rPr>
        <w:rFonts w:hint="default"/>
      </w:rPr>
    </w:lvl>
    <w:lvl w:ilvl="8" w:tplc="D5E2FCB6">
      <w:numFmt w:val="bullet"/>
      <w:lvlText w:val="•"/>
      <w:lvlJc w:val="left"/>
      <w:pPr>
        <w:ind w:left="8708" w:hanging="288"/>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4D82"/>
    <w:rsid w:val="00073A90"/>
    <w:rsid w:val="00077A33"/>
    <w:rsid w:val="00092748"/>
    <w:rsid w:val="000A48A8"/>
    <w:rsid w:val="000C3E3E"/>
    <w:rsid w:val="001321DD"/>
    <w:rsid w:val="00151882"/>
    <w:rsid w:val="00217638"/>
    <w:rsid w:val="002625F8"/>
    <w:rsid w:val="002B291D"/>
    <w:rsid w:val="002B2D9F"/>
    <w:rsid w:val="002F52CA"/>
    <w:rsid w:val="002F5C5E"/>
    <w:rsid w:val="00352632"/>
    <w:rsid w:val="003B51B4"/>
    <w:rsid w:val="00507B32"/>
    <w:rsid w:val="005202F8"/>
    <w:rsid w:val="00535FD5"/>
    <w:rsid w:val="005432EF"/>
    <w:rsid w:val="005622C3"/>
    <w:rsid w:val="005A2768"/>
    <w:rsid w:val="005B2A62"/>
    <w:rsid w:val="005F7F49"/>
    <w:rsid w:val="00664E1D"/>
    <w:rsid w:val="00695C18"/>
    <w:rsid w:val="006A6006"/>
    <w:rsid w:val="006A79DD"/>
    <w:rsid w:val="00783CE4"/>
    <w:rsid w:val="00802AB5"/>
    <w:rsid w:val="0080312A"/>
    <w:rsid w:val="0082554C"/>
    <w:rsid w:val="00854678"/>
    <w:rsid w:val="008A377C"/>
    <w:rsid w:val="0090289C"/>
    <w:rsid w:val="00913FFE"/>
    <w:rsid w:val="009B383A"/>
    <w:rsid w:val="00A025C2"/>
    <w:rsid w:val="00A35215"/>
    <w:rsid w:val="00AA65E1"/>
    <w:rsid w:val="00B34D82"/>
    <w:rsid w:val="00B84F13"/>
    <w:rsid w:val="00B95B32"/>
    <w:rsid w:val="00BF2D93"/>
    <w:rsid w:val="00C17BC4"/>
    <w:rsid w:val="00D0188B"/>
    <w:rsid w:val="00D866C8"/>
    <w:rsid w:val="00D97DBD"/>
    <w:rsid w:val="00DA7FEF"/>
    <w:rsid w:val="00DF782E"/>
    <w:rsid w:val="00F06800"/>
    <w:rsid w:val="00F351CC"/>
    <w:rsid w:val="00F571F5"/>
    <w:rsid w:val="00FF62F1"/>
    <w:rsid w:val="00FF6D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82"/>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913FF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913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913FFE"/>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3FFE"/>
    <w:rPr>
      <w:rFonts w:ascii="Cambria" w:hAnsi="Cambria" w:cs="Times New Roman"/>
      <w:b/>
      <w:bCs/>
      <w:color w:val="365F91"/>
      <w:sz w:val="28"/>
      <w:szCs w:val="28"/>
      <w:lang w:val="uk-UA"/>
    </w:rPr>
  </w:style>
  <w:style w:type="character" w:customStyle="1" w:styleId="Heading2Char">
    <w:name w:val="Heading 2 Char"/>
    <w:basedOn w:val="DefaultParagraphFont"/>
    <w:link w:val="Heading2"/>
    <w:uiPriority w:val="99"/>
    <w:semiHidden/>
    <w:locked/>
    <w:rsid w:val="00913FFE"/>
    <w:rPr>
      <w:rFonts w:ascii="Cambria" w:hAnsi="Cambria" w:cs="Times New Roman"/>
      <w:b/>
      <w:bCs/>
      <w:color w:val="4F81BD"/>
      <w:sz w:val="26"/>
      <w:szCs w:val="26"/>
      <w:lang w:val="uk-UA"/>
    </w:rPr>
  </w:style>
  <w:style w:type="character" w:customStyle="1" w:styleId="Heading3Char">
    <w:name w:val="Heading 3 Char"/>
    <w:basedOn w:val="DefaultParagraphFont"/>
    <w:link w:val="Heading3"/>
    <w:uiPriority w:val="99"/>
    <w:semiHidden/>
    <w:locked/>
    <w:rsid w:val="00913FFE"/>
    <w:rPr>
      <w:rFonts w:ascii="Cambria" w:hAnsi="Cambria" w:cs="Times New Roman"/>
      <w:b/>
      <w:bCs/>
      <w:color w:val="4F81BD"/>
      <w:lang w:val="uk-UA"/>
    </w:rPr>
  </w:style>
  <w:style w:type="paragraph" w:customStyle="1" w:styleId="H1">
    <w:name w:val="H1"/>
    <w:basedOn w:val="Heading1"/>
    <w:link w:val="H10"/>
    <w:autoRedefine/>
    <w:uiPriority w:val="99"/>
    <w:rsid w:val="00913FFE"/>
    <w:pPr>
      <w:jc w:val="center"/>
    </w:pPr>
    <w:rPr>
      <w:rFonts w:ascii="Times New Roman" w:hAnsi="Times New Roman"/>
      <w:color w:val="000000"/>
    </w:rPr>
  </w:style>
  <w:style w:type="character" w:customStyle="1" w:styleId="H10">
    <w:name w:val="H1 Знак"/>
    <w:basedOn w:val="Heading1Char"/>
    <w:link w:val="H1"/>
    <w:uiPriority w:val="99"/>
    <w:locked/>
    <w:rsid w:val="00913FFE"/>
    <w:rPr>
      <w:rFonts w:ascii="Times New Roman" w:hAnsi="Times New Roman"/>
      <w:color w:val="000000"/>
    </w:rPr>
  </w:style>
  <w:style w:type="paragraph" w:customStyle="1" w:styleId="H2">
    <w:name w:val="H2"/>
    <w:basedOn w:val="Heading2"/>
    <w:link w:val="H20"/>
    <w:autoRedefine/>
    <w:uiPriority w:val="99"/>
    <w:rsid w:val="00913FFE"/>
    <w:pPr>
      <w:spacing w:before="360" w:after="120"/>
      <w:ind w:firstLine="567"/>
      <w:jc w:val="both"/>
    </w:pPr>
    <w:rPr>
      <w:rFonts w:ascii="Times New Roman" w:hAnsi="Times New Roman"/>
      <w:b w:val="0"/>
      <w:bCs w:val="0"/>
      <w:color w:val="000000"/>
      <w:sz w:val="28"/>
      <w:szCs w:val="28"/>
    </w:rPr>
  </w:style>
  <w:style w:type="character" w:customStyle="1" w:styleId="H20">
    <w:name w:val="H2 Знак"/>
    <w:basedOn w:val="Heading2Char"/>
    <w:link w:val="H2"/>
    <w:uiPriority w:val="99"/>
    <w:locked/>
    <w:rsid w:val="00913FFE"/>
    <w:rPr>
      <w:rFonts w:ascii="Times New Roman" w:hAnsi="Times New Roman"/>
      <w:color w:val="000000"/>
      <w:sz w:val="28"/>
      <w:szCs w:val="28"/>
    </w:rPr>
  </w:style>
  <w:style w:type="paragraph" w:customStyle="1" w:styleId="H3">
    <w:name w:val="H3"/>
    <w:basedOn w:val="Heading3"/>
    <w:next w:val="NoSpacing"/>
    <w:link w:val="H30"/>
    <w:autoRedefine/>
    <w:uiPriority w:val="99"/>
    <w:rsid w:val="002B291D"/>
    <w:pPr>
      <w:keepNext w:val="0"/>
      <w:keepLines w:val="0"/>
      <w:spacing w:before="0" w:beforeAutospacing="1" w:after="100" w:afterAutospacing="1"/>
      <w:ind w:firstLine="567"/>
      <w:jc w:val="both"/>
    </w:pPr>
    <w:rPr>
      <w:rFonts w:ascii="Times New Roman" w:hAnsi="Times New Roman"/>
      <w:color w:val="000000"/>
      <w:sz w:val="28"/>
      <w:szCs w:val="28"/>
    </w:rPr>
  </w:style>
  <w:style w:type="character" w:customStyle="1" w:styleId="H30">
    <w:name w:val="H3 Знак"/>
    <w:basedOn w:val="Heading3Char"/>
    <w:link w:val="H3"/>
    <w:uiPriority w:val="99"/>
    <w:locked/>
    <w:rsid w:val="002B291D"/>
    <w:rPr>
      <w:rFonts w:ascii="Times New Roman" w:hAnsi="Times New Roman"/>
      <w:color w:val="000000"/>
      <w:sz w:val="28"/>
      <w:szCs w:val="28"/>
      <w:lang w:eastAsia="ru-RU"/>
    </w:rPr>
  </w:style>
  <w:style w:type="paragraph" w:styleId="NoSpacing">
    <w:name w:val="No Spacing"/>
    <w:uiPriority w:val="99"/>
    <w:qFormat/>
    <w:rsid w:val="002B291D"/>
    <w:rPr>
      <w:lang w:val="uk-UA"/>
    </w:rPr>
  </w:style>
  <w:style w:type="paragraph" w:customStyle="1" w:styleId="a">
    <w:name w:val="Підпис рисунка"/>
    <w:basedOn w:val="Normal"/>
    <w:uiPriority w:val="99"/>
    <w:rsid w:val="006A6006"/>
    <w:pPr>
      <w:autoSpaceDE w:val="0"/>
      <w:autoSpaceDN w:val="0"/>
      <w:adjustRightInd w:val="0"/>
      <w:spacing w:after="240"/>
      <w:jc w:val="center"/>
    </w:pPr>
    <w:rPr>
      <w:color w:val="000000"/>
      <w:sz w:val="28"/>
      <w:szCs w:val="28"/>
    </w:rPr>
  </w:style>
  <w:style w:type="character" w:styleId="Strong">
    <w:name w:val="Strong"/>
    <w:basedOn w:val="DefaultParagraphFont"/>
    <w:uiPriority w:val="99"/>
    <w:qFormat/>
    <w:rsid w:val="00B34D82"/>
    <w:rPr>
      <w:rFonts w:cs="Times New Roman"/>
      <w:b/>
    </w:rPr>
  </w:style>
  <w:style w:type="paragraph" w:styleId="BalloonText">
    <w:name w:val="Balloon Text"/>
    <w:basedOn w:val="Normal"/>
    <w:link w:val="BalloonTextChar"/>
    <w:uiPriority w:val="99"/>
    <w:semiHidden/>
    <w:rsid w:val="00B34D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4D82"/>
    <w:rPr>
      <w:rFonts w:ascii="Tahoma" w:hAnsi="Tahoma" w:cs="Tahoma"/>
      <w:sz w:val="16"/>
      <w:szCs w:val="16"/>
      <w:lang w:eastAsia="ru-RU"/>
    </w:rPr>
  </w:style>
  <w:style w:type="character" w:customStyle="1" w:styleId="q4iawc">
    <w:name w:val="q4iawc"/>
    <w:basedOn w:val="DefaultParagraphFont"/>
    <w:uiPriority w:val="99"/>
    <w:rsid w:val="00A35215"/>
    <w:rPr>
      <w:rFonts w:cs="Times New Roman"/>
    </w:rPr>
  </w:style>
  <w:style w:type="character" w:styleId="Emphasis">
    <w:name w:val="Emphasis"/>
    <w:basedOn w:val="DefaultParagraphFont"/>
    <w:uiPriority w:val="99"/>
    <w:qFormat/>
    <w:rsid w:val="00077A33"/>
    <w:rPr>
      <w:rFonts w:cs="Times New Roman"/>
      <w:i/>
      <w:iCs/>
    </w:rPr>
  </w:style>
  <w:style w:type="paragraph" w:styleId="ListParagraph">
    <w:name w:val="List Paragraph"/>
    <w:basedOn w:val="Normal"/>
    <w:uiPriority w:val="99"/>
    <w:qFormat/>
    <w:rsid w:val="00077A33"/>
    <w:pPr>
      <w:ind w:left="720"/>
      <w:contextualSpacing/>
    </w:pPr>
  </w:style>
  <w:style w:type="character" w:styleId="Hyperlink">
    <w:name w:val="Hyperlink"/>
    <w:basedOn w:val="DefaultParagraphFont"/>
    <w:uiPriority w:val="99"/>
    <w:rsid w:val="003B51B4"/>
    <w:rPr>
      <w:rFonts w:cs="Times New Roman"/>
      <w:color w:val="0000FF"/>
      <w:u w:val="single"/>
    </w:rPr>
  </w:style>
  <w:style w:type="table" w:styleId="TableGrid">
    <w:name w:val="Table Grid"/>
    <w:basedOn w:val="TableNormal"/>
    <w:uiPriority w:val="99"/>
    <w:rsid w:val="00B95B32"/>
    <w:rPr>
      <w:rFonts w:ascii="Times New Roman" w:eastAsia="SimSu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202F8"/>
    <w:pPr>
      <w:tabs>
        <w:tab w:val="center" w:pos="4677"/>
        <w:tab w:val="right" w:pos="9355"/>
      </w:tabs>
    </w:pPr>
  </w:style>
  <w:style w:type="character" w:customStyle="1" w:styleId="HeaderChar">
    <w:name w:val="Header Char"/>
    <w:basedOn w:val="DefaultParagraphFont"/>
    <w:link w:val="Header"/>
    <w:uiPriority w:val="99"/>
    <w:semiHidden/>
    <w:rsid w:val="004463DD"/>
    <w:rPr>
      <w:rFonts w:ascii="Times New Roman" w:eastAsia="Times New Roman" w:hAnsi="Times New Roman"/>
      <w:sz w:val="24"/>
      <w:szCs w:val="24"/>
      <w:lang w:val="ru-RU" w:eastAsia="ru-RU"/>
    </w:rPr>
  </w:style>
  <w:style w:type="character" w:styleId="PageNumber">
    <w:name w:val="page number"/>
    <w:basedOn w:val="DefaultParagraphFont"/>
    <w:uiPriority w:val="99"/>
    <w:rsid w:val="005202F8"/>
    <w:rPr>
      <w:rFonts w:cs="Times New Roman"/>
    </w:rPr>
  </w:style>
  <w:style w:type="paragraph" w:styleId="Footer">
    <w:name w:val="footer"/>
    <w:basedOn w:val="Normal"/>
    <w:link w:val="FooterChar"/>
    <w:uiPriority w:val="99"/>
    <w:rsid w:val="005202F8"/>
    <w:pPr>
      <w:tabs>
        <w:tab w:val="center" w:pos="4677"/>
        <w:tab w:val="right" w:pos="9355"/>
      </w:tabs>
    </w:pPr>
  </w:style>
  <w:style w:type="character" w:customStyle="1" w:styleId="FooterChar">
    <w:name w:val="Footer Char"/>
    <w:basedOn w:val="DefaultParagraphFont"/>
    <w:link w:val="Footer"/>
    <w:uiPriority w:val="99"/>
    <w:semiHidden/>
    <w:rsid w:val="004463DD"/>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4619172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519</Words>
  <Characters>2964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ТЕХНІКО-ЕКОНОМІЧНІ ПАРАМЕТРИ ГІБРИДНОЇ СИСТЕМИ ТЕПЛОПОСТАЧАННЯ</dc:title>
  <dc:subject/>
  <dc:creator>Богдан Марисюк</dc:creator>
  <cp:keywords/>
  <dc:description/>
  <cp:lastModifiedBy>Пользователь Windows</cp:lastModifiedBy>
  <cp:revision>2</cp:revision>
  <dcterms:created xsi:type="dcterms:W3CDTF">2025-05-28T09:48:00Z</dcterms:created>
  <dcterms:modified xsi:type="dcterms:W3CDTF">2025-05-28T09:48:00Z</dcterms:modified>
</cp:coreProperties>
</file>