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6A" w:rsidRPr="007E0C6A" w:rsidRDefault="007E0C6A" w:rsidP="007E0C6A">
      <w:pPr>
        <w:shd w:val="clear" w:color="auto" w:fill="FFFFFF"/>
        <w:spacing w:after="60" w:line="240" w:lineRule="auto"/>
        <w:ind w:right="240"/>
        <w:outlineLvl w:val="2"/>
        <w:rPr>
          <w:rFonts w:ascii="Georgia" w:eastAsia="Times New Roman" w:hAnsi="Georgia" w:cs="Times New Roman"/>
          <w:color w:val="111111"/>
          <w:sz w:val="31"/>
          <w:szCs w:val="31"/>
          <w:lang w:eastAsia="en-GB"/>
        </w:rPr>
      </w:pPr>
      <w:r w:rsidRPr="007E0C6A">
        <w:rPr>
          <w:rFonts w:ascii="Georgia" w:eastAsia="Times New Roman" w:hAnsi="Georgia" w:cs="Times New Roman"/>
          <w:color w:val="111111"/>
          <w:sz w:val="31"/>
          <w:szCs w:val="31"/>
          <w:lang w:eastAsia="en-GB"/>
        </w:rPr>
        <w:t>МЕТОД ОЦЕНКИ ЭКСПЛУАТАЦИОННОГО РЕСУРСА ОБОЛОЧКИ ТВЭЛА ВВЭР-1000 В РАЗЛИЧНЫХ РЕЖИМАХ НАГРУЖЕНИЯ</w:t>
      </w:r>
    </w:p>
    <w:p w:rsidR="007E0C6A" w:rsidRPr="007E0C6A" w:rsidRDefault="007E0C6A" w:rsidP="007E0C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r w:rsidRPr="007E0C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eastAsia="en-GB"/>
        </w:rPr>
        <w:t xml:space="preserve">M. В. </w:t>
      </w:r>
      <w:proofErr w:type="spellStart"/>
      <w:r w:rsidRPr="007E0C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eastAsia="en-GB"/>
        </w:rPr>
        <w:t>Maксимов</w:t>
      </w:r>
      <w:proofErr w:type="spellEnd"/>
      <w:r w:rsidRPr="007E0C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eastAsia="en-GB"/>
        </w:rPr>
        <w:t xml:space="preserve">, С. Н. </w:t>
      </w:r>
      <w:proofErr w:type="spellStart"/>
      <w:r w:rsidRPr="007E0C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eastAsia="en-GB"/>
        </w:rPr>
        <w:t>Пелых</w:t>
      </w:r>
      <w:proofErr w:type="spellEnd"/>
      <w:r w:rsidRPr="007E0C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eastAsia="en-GB"/>
        </w:rPr>
        <w:t xml:space="preserve">, О. В. </w:t>
      </w:r>
      <w:proofErr w:type="spellStart"/>
      <w:r w:rsidRPr="007E0C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eastAsia="en-GB"/>
        </w:rPr>
        <w:t>Маслов</w:t>
      </w:r>
      <w:proofErr w:type="spellEnd"/>
      <w:r w:rsidRPr="007E0C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eastAsia="en-GB"/>
        </w:rPr>
        <w:t xml:space="preserve">, В. Е. </w:t>
      </w:r>
      <w:proofErr w:type="spellStart"/>
      <w:r w:rsidRPr="007E0C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eastAsia="en-GB"/>
        </w:rPr>
        <w:t>Баскаков</w:t>
      </w:r>
      <w:proofErr w:type="spellEnd"/>
    </w:p>
    <w:p w:rsidR="007E0C6A" w:rsidRPr="007E0C6A" w:rsidRDefault="007E0C6A" w:rsidP="007E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E0C6A" w:rsidRPr="007E0C6A" w:rsidRDefault="007E0C6A" w:rsidP="007E0C6A">
      <w:pPr>
        <w:shd w:val="clear" w:color="auto" w:fill="FFFFFF"/>
        <w:spacing w:before="180" w:after="60" w:line="240" w:lineRule="auto"/>
        <w:ind w:right="240"/>
        <w:outlineLvl w:val="3"/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</w:pPr>
      <w:proofErr w:type="spellStart"/>
      <w:r w:rsidRPr="007E0C6A"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  <w:t>Аннотация</w:t>
      </w:r>
      <w:proofErr w:type="spellEnd"/>
    </w:p>
    <w:p w:rsidR="007E0C6A" w:rsidRPr="007E0C6A" w:rsidRDefault="007E0C6A" w:rsidP="007E0C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</w:p>
    <w:p w:rsidR="007E0C6A" w:rsidRDefault="007E0C6A" w:rsidP="007E0C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Предлагается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метод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оценки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эксплуатационного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ресурса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оболочки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твэла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ВВЭР-1000,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работающего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режимах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постоянной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и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переменной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нагрузки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Показано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что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основе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энергетического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подхода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к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ползучести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и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разрушению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материала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оболочки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возможна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сравнительная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оценка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эксплуатационного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ресурса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оболочек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при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различных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режимах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и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параметрах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активной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зоны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</w:p>
    <w:p w:rsidR="007E0C6A" w:rsidRDefault="007E0C6A" w:rsidP="007E0C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</w:p>
    <w:p w:rsidR="007E0C6A" w:rsidRPr="007E0C6A" w:rsidRDefault="007E0C6A" w:rsidP="007E0C6A">
      <w:pPr>
        <w:shd w:val="clear" w:color="auto" w:fill="FFFFFF"/>
        <w:spacing w:before="180" w:after="60" w:line="240" w:lineRule="auto"/>
        <w:ind w:right="240"/>
        <w:outlineLvl w:val="3"/>
        <w:rPr>
          <w:rFonts w:ascii="Georgia" w:eastAsia="Times New Roman" w:hAnsi="Georgia" w:cs="Times New Roman"/>
          <w:color w:val="111111"/>
          <w:sz w:val="26"/>
          <w:szCs w:val="26"/>
          <w:lang w:val="ru-RU" w:eastAsia="en-GB"/>
        </w:rPr>
      </w:pPr>
      <w:r>
        <w:rPr>
          <w:rFonts w:ascii="Georgia" w:eastAsia="Times New Roman" w:hAnsi="Georgia" w:cs="Times New Roman"/>
          <w:color w:val="111111"/>
          <w:sz w:val="26"/>
          <w:szCs w:val="26"/>
          <w:lang w:val="ru-RU" w:eastAsia="en-GB"/>
        </w:rPr>
        <w:t>Ключевые слова</w:t>
      </w:r>
    </w:p>
    <w:p w:rsidR="007E0C6A" w:rsidRPr="007E0C6A" w:rsidRDefault="007E0C6A" w:rsidP="007E0C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val="ru-RU" w:eastAsia="en-GB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val="ru-RU" w:eastAsia="en-GB"/>
        </w:rPr>
        <w:t>О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болочки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твэла</w:t>
      </w:r>
      <w:proofErr w:type="spellEnd"/>
      <w:r>
        <w:rPr>
          <w:rFonts w:ascii="Verdana" w:eastAsia="Times New Roman" w:hAnsi="Verdana" w:cs="Times New Roman"/>
          <w:color w:val="111111"/>
          <w:sz w:val="17"/>
          <w:szCs w:val="17"/>
          <w:lang w:val="ru-RU" w:eastAsia="en-GB"/>
        </w:rPr>
        <w:t xml:space="preserve">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активн</w:t>
      </w:r>
      <w:r>
        <w:rPr>
          <w:rFonts w:ascii="Verdana" w:eastAsia="Times New Roman" w:hAnsi="Verdana" w:cs="Times New Roman"/>
          <w:color w:val="111111"/>
          <w:sz w:val="17"/>
          <w:szCs w:val="17"/>
          <w:lang w:val="ru-RU" w:eastAsia="en-GB"/>
        </w:rPr>
        <w:t>ая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зон</w:t>
      </w:r>
      <w:proofErr w:type="spellEnd"/>
      <w:r>
        <w:rPr>
          <w:rFonts w:ascii="Verdana" w:eastAsia="Times New Roman" w:hAnsi="Verdana" w:cs="Times New Roman"/>
          <w:color w:val="111111"/>
          <w:sz w:val="17"/>
          <w:szCs w:val="17"/>
          <w:lang w:val="ru-RU" w:eastAsia="en-GB"/>
        </w:rPr>
        <w:t xml:space="preserve">а,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ползучест</w:t>
      </w:r>
      <w:proofErr w:type="spellEnd"/>
      <w:r>
        <w:rPr>
          <w:rFonts w:ascii="Verdana" w:eastAsia="Times New Roman" w:hAnsi="Verdana" w:cs="Times New Roman"/>
          <w:color w:val="111111"/>
          <w:sz w:val="17"/>
          <w:szCs w:val="17"/>
          <w:lang w:val="ru-RU" w:eastAsia="en-GB"/>
        </w:rPr>
        <w:t>ь,</w:t>
      </w:r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разрушени</w:t>
      </w:r>
      <w:proofErr w:type="spellEnd"/>
      <w:r>
        <w:rPr>
          <w:rFonts w:ascii="Verdana" w:eastAsia="Times New Roman" w:hAnsi="Verdana" w:cs="Times New Roman"/>
          <w:color w:val="111111"/>
          <w:sz w:val="17"/>
          <w:szCs w:val="17"/>
          <w:lang w:val="ru-RU" w:eastAsia="en-GB"/>
        </w:rPr>
        <w:t>е.</w:t>
      </w:r>
      <w:bookmarkStart w:id="0" w:name="_GoBack"/>
      <w:bookmarkEnd w:id="0"/>
    </w:p>
    <w:p w:rsidR="007E0C6A" w:rsidRPr="007E0C6A" w:rsidRDefault="007E0C6A" w:rsidP="007E0C6A">
      <w:pPr>
        <w:shd w:val="clear" w:color="auto" w:fill="FFFFFF"/>
        <w:spacing w:before="180" w:after="60" w:line="240" w:lineRule="auto"/>
        <w:ind w:right="240"/>
        <w:outlineLvl w:val="3"/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</w:pPr>
      <w:proofErr w:type="spellStart"/>
      <w:r w:rsidRPr="007E0C6A"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  <w:t>Полный</w:t>
      </w:r>
      <w:proofErr w:type="spellEnd"/>
      <w:r w:rsidRPr="007E0C6A"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  <w:t xml:space="preserve"> </w:t>
      </w:r>
      <w:proofErr w:type="spellStart"/>
      <w:r w:rsidRPr="007E0C6A"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  <w:t>текст</w:t>
      </w:r>
      <w:proofErr w:type="spellEnd"/>
      <w:r w:rsidRPr="007E0C6A"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  <w:t>:</w:t>
      </w:r>
      <w:r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  <w:t xml:space="preserve"> </w:t>
      </w:r>
      <w:hyperlink r:id="rId4" w:history="1">
        <w:r>
          <w:rPr>
            <w:rStyle w:val="a4"/>
          </w:rPr>
          <w:t>https://j-atomicenergy.ru/index.php/ae/article/view/1442/1423</w:t>
        </w:r>
      </w:hyperlink>
    </w:p>
    <w:p w:rsidR="007E0C6A" w:rsidRPr="007E0C6A" w:rsidRDefault="007E0C6A" w:rsidP="007E0C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</w:p>
    <w:p w:rsidR="007E0C6A" w:rsidRPr="007E0C6A" w:rsidRDefault="007E0C6A" w:rsidP="007E0C6A">
      <w:pPr>
        <w:shd w:val="clear" w:color="auto" w:fill="FFFFFF"/>
        <w:spacing w:before="180" w:after="60" w:line="240" w:lineRule="auto"/>
        <w:ind w:right="240"/>
        <w:outlineLvl w:val="3"/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</w:pPr>
      <w:proofErr w:type="spellStart"/>
      <w:r w:rsidRPr="007E0C6A">
        <w:rPr>
          <w:rFonts w:ascii="Georgia" w:eastAsia="Times New Roman" w:hAnsi="Georgia" w:cs="Times New Roman"/>
          <w:color w:val="111111"/>
          <w:sz w:val="26"/>
          <w:szCs w:val="26"/>
          <w:lang w:eastAsia="en-GB"/>
        </w:rPr>
        <w:t>Литература</w:t>
      </w:r>
      <w:proofErr w:type="spellEnd"/>
    </w:p>
    <w:p w:rsidR="007E0C6A" w:rsidRPr="007E0C6A" w:rsidRDefault="007E0C6A" w:rsidP="007E0C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</w:p>
    <w:p w:rsidR="007E0C6A" w:rsidRPr="007E0C6A" w:rsidRDefault="007E0C6A" w:rsidP="007E0C6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Семишкин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В.П.,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Рыжов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С.Б.,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Мохов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В.А.,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Пиминов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В.А.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Нормативные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требования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к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прочности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и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надежности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элементов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РУ ВВЭР и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вопросы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безопасности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- В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сб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.: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Тезисы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докл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6-й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Межд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научно-техн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конф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. «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Обеспечение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безопасности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АЭС с ВВЭР».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Подольск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, 2009, с. 119.</w:t>
      </w:r>
    </w:p>
    <w:p w:rsidR="007E0C6A" w:rsidRPr="007E0C6A" w:rsidRDefault="007E0C6A" w:rsidP="007E0C6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Новиков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В.В.,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Медведев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А.В.,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Богатырь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С.М. и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др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Обеспечение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работоспособности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ядерного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топлива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маневренных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режимах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- В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сб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.: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Украинско-рос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научно-практич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сем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. «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Опыт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эксплуатации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и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внедрения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топлива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ВВЭР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нового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поколения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».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Хмельницкий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, 2005, с. 1-22.</w:t>
      </w:r>
    </w:p>
    <w:p w:rsidR="007E0C6A" w:rsidRPr="007E0C6A" w:rsidRDefault="007E0C6A" w:rsidP="007E0C6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Семишкин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В.П.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Расчетно-экспериментальные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методы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обоснования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поведения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твэлов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и ТВС ВВЭР в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аварийных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режимах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с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большой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течью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из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первого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контура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РУ.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Автореф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дис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соискание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ученой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степени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д.т.н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. М., МИФИ, 2007. 48 с.</w:t>
      </w:r>
    </w:p>
    <w:p w:rsidR="007E0C6A" w:rsidRPr="007E0C6A" w:rsidRDefault="007E0C6A" w:rsidP="007E0C6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Suzuki M. Light Water Reactor Fuel Analysis Code FEMAXI V (Ver.1). Tokai, Japan Atomic Energy Research Institute, 2000. 285 p.</w:t>
      </w:r>
    </w:p>
    <w:p w:rsidR="007E0C6A" w:rsidRPr="007E0C6A" w:rsidRDefault="007E0C6A" w:rsidP="007E0C6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Соснин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О.В.,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Горев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Б.В.,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Никитенко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А.Ф.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Энергетический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вариант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теории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ползучести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Новосибирск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Ин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-т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термодинамики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СО РАН, 1986. 95 с.</w:t>
      </w:r>
    </w:p>
    <w:p w:rsidR="007E0C6A" w:rsidRPr="007E0C6A" w:rsidRDefault="007E0C6A" w:rsidP="007E0C6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Немировский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Ю.В.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Об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оценке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времени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безопасной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эксплуатации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конструкций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и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сооружений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- В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сб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.: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Межд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конф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по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материаловедению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Новосибирск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, 2001, т. 6, с. 328-333.</w:t>
      </w:r>
    </w:p>
    <w:p w:rsidR="007E0C6A" w:rsidRPr="007E0C6A" w:rsidRDefault="007E0C6A" w:rsidP="007E0C6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Maксимов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M.В.,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Пелых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С.Н.,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Маслов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О.В.,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Баскаков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В.Е.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Метод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оценки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эффективности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алгоритма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маневра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мощностью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энергоблока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с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реактором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типа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ВВЭР. -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Изв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вузов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Ядерная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энергетика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, 2008,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вып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. 4, с. 128-139.</w:t>
      </w:r>
    </w:p>
    <w:p w:rsidR="007E0C6A" w:rsidRPr="007E0C6A" w:rsidRDefault="007E0C6A" w:rsidP="007E0C6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Maksimov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M.V.,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Pelykh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S.N.,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Maslov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O.V.,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Baskakov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V.E. Model of cladding failure estimation for a cycling nuclear unit. -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Nucl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Engng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Design, 2009, v. 239, № 12, p. 3021-3026.</w:t>
      </w:r>
    </w:p>
    <w:p w:rsidR="007E0C6A" w:rsidRPr="007E0C6A" w:rsidRDefault="007E0C6A" w:rsidP="007E0C6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</w:pP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Шмелев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В.Д.,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Драгунов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Ю.Г.,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Денисов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В.П. и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др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Активные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зоны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ВВЭР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для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атомных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электростанций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 xml:space="preserve">. М.: </w:t>
      </w:r>
      <w:proofErr w:type="spellStart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Академкнига</w:t>
      </w:r>
      <w:proofErr w:type="spellEnd"/>
      <w:r w:rsidRPr="007E0C6A">
        <w:rPr>
          <w:rFonts w:ascii="Verdana" w:eastAsia="Times New Roman" w:hAnsi="Verdana" w:cs="Times New Roman"/>
          <w:color w:val="111111"/>
          <w:sz w:val="17"/>
          <w:szCs w:val="17"/>
          <w:lang w:eastAsia="en-GB"/>
        </w:rPr>
        <w:t>, 2004. 220 с.</w:t>
      </w:r>
    </w:p>
    <w:p w:rsidR="007E0C6A" w:rsidRPr="007E0C6A" w:rsidRDefault="007E0C6A" w:rsidP="007E0C6A"/>
    <w:sectPr w:rsidR="007E0C6A" w:rsidRPr="007E0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6A"/>
    <w:rsid w:val="007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153A"/>
  <w15:chartTrackingRefBased/>
  <w15:docId w15:val="{9930AEE5-5147-42C1-94E2-E453CA8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0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4">
    <w:name w:val="heading 4"/>
    <w:basedOn w:val="a"/>
    <w:link w:val="40"/>
    <w:uiPriority w:val="9"/>
    <w:qFormat/>
    <w:rsid w:val="007E0C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0C6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7E0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a3">
    <w:name w:val="Emphasis"/>
    <w:basedOn w:val="a0"/>
    <w:uiPriority w:val="20"/>
    <w:qFormat/>
    <w:rsid w:val="007E0C6A"/>
    <w:rPr>
      <w:i/>
      <w:iCs/>
    </w:rPr>
  </w:style>
  <w:style w:type="character" w:styleId="a4">
    <w:name w:val="Hyperlink"/>
    <w:basedOn w:val="a0"/>
    <w:uiPriority w:val="99"/>
    <w:semiHidden/>
    <w:unhideWhenUsed/>
    <w:rsid w:val="007E0C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E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-atomicenergy.ru/index.php/ae/article/view/1442/1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Максимов</dc:creator>
  <cp:keywords/>
  <dc:description/>
  <cp:lastModifiedBy>Максим Максимов</cp:lastModifiedBy>
  <cp:revision>1</cp:revision>
  <dcterms:created xsi:type="dcterms:W3CDTF">2019-12-25T15:42:00Z</dcterms:created>
  <dcterms:modified xsi:type="dcterms:W3CDTF">2019-12-25T15:50:00Z</dcterms:modified>
</cp:coreProperties>
</file>