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A9557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Попередження корозії та відкладень продуктів корозії</w:t>
      </w:r>
    </w:p>
    <w:p>
      <w:pPr>
        <w:tabs>
          <w:tab w:val="center" w:pos="4844" w:leader="none"/>
          <w:tab w:val="right" w:pos="9689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>Prevention of corrosion and deposits of corrosion products</w:t>
        <w:tab/>
      </w:r>
      <w:bookmarkStart w:id="0" w:name="_GoBack"/>
      <w:bookmarkEnd w:id="0"/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Науковий керівник: к.т.н., доцент кафедри атомних електростанцій, 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Ковальчук 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І., Kovalchuk V.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Виконала: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агістр </w:t>
      </w:r>
      <w:r>
        <w:rPr>
          <w:rFonts w:ascii="Times New Roman" w:hAnsi="Times New Roman"/>
          <w:sz w:val="24"/>
        </w:rPr>
        <w:t>Саченко О.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В., Sachenko O.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Анотація</w:t>
      </w:r>
      <w:r>
        <w:rPr>
          <w:rFonts w:ascii="Times New Roman" w:hAnsi="Times New Roman"/>
          <w:sz w:val="24"/>
        </w:rPr>
        <w:t>: Метою було розглянути та виявити шляхи попередження корозії та відкладень продуктів корозії на прикладі силікатів.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Ключові слова</w:t>
      </w:r>
      <w:r>
        <w:rPr>
          <w:rFonts w:ascii="Times New Roman" w:hAnsi="Times New Roman"/>
          <w:sz w:val="24"/>
        </w:rPr>
        <w:t>: корозія, відкладення, тепломережі, силікати, захисна плівка, рідке скло.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Annotation</w:t>
      </w:r>
      <w:r>
        <w:rPr>
          <w:rFonts w:ascii="Times New Roman" w:hAnsi="Times New Roman"/>
          <w:sz w:val="24"/>
        </w:rPr>
        <w:t>: The aim was to consider and identify ways to prevent corrosion and deposits of corrosion products on the example of silicates.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Key words</w:t>
      </w:r>
      <w:r>
        <w:rPr>
          <w:rFonts w:ascii="Times New Roman" w:hAnsi="Times New Roman"/>
          <w:sz w:val="24"/>
        </w:rPr>
        <w:t>: corrosion, deposits, heating networks, silicates, protective film, liquid glass.</w:t>
      </w:r>
    </w:p>
    <w:p>
      <w:pPr>
        <w:rPr>
          <w:rFonts w:ascii="Times New Roman" w:hAnsi="Times New Roman"/>
          <w:sz w:val="24"/>
        </w:rPr>
      </w:pP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Корозійні процеси та процеси накопичення продуктів корозії та їх відкладення у тепломережах, в умовах використання пом'якшеної води для підживлення тепломереж, виходять на перший план при забезпечені водно-хімічного режиму тепломереж.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Щоб звести до мінімуму ці явища потрібно наступне:</w:t>
      </w:r>
    </w:p>
    <w:p>
      <w:pPr>
        <w:keepNext w:val="0"/>
        <w:widowControl w:val="1"/>
        <w:numPr>
          <w:ilvl w:val="0"/>
          <w:numId w:val="1"/>
        </w:numPr>
        <w:shd w:val="clear" w:fill="auto"/>
        <w:tabs>
          <w:tab w:val="clear" w:pos="900" w:leader="none"/>
        </w:tabs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використання корозійно стійких матеріалів та захисних покриттів (для виготовлення трубок мережних підігрівачів використовують латунь, у трубах підведення – оцинковані труби, пластикові труби, радіатори із чавуна і т.і.);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глибоке видалення із води  підживлення та тепломережної корозійно активних газів О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, СО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. Досягається це обов'язковою деаерацією підживлювальної води. На жаль деаерація не завжди ефективна, оскільки її доцільно проводити тільки під вакуумом при  температурі менше 100 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С;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обробка води тепломережі силікатами.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Розглянемо останнє більш детально. Обробка води силікатами передбачає введення у воду тепломережі в якості корегуючого реагента  силікатів. При цьому залишаються необхідними і якісна деаерація та інші антикорозійні міри.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Силікати </w:t>
      </w:r>
      <w:r>
        <w:rPr>
          <w:rFonts w:ascii="Times New Roman" w:hAnsi="Times New Roman"/>
          <w:sz w:val="24"/>
        </w:rPr>
        <w:t xml:space="preserve">– це високотемпературні інгибітори, які здатні придушити вуглекислотну, кисневу та підшламову корозії. Вони роблять воду лужною та утворюють на поверхні (стінках) труб захисну ферросилікатну  плівку, яка не допускає, тормозить дію О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, СО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на поверхню металу.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практиці для корекційної обробки використовують силікат натрію, який отримується шляхом обробки піску водним розчином лугу NаОН. Так отримують розчин відомий під назвою «рідке скло». Рідке скло вміщує 30...32 % SіО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та 10...12% Nа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О . Для приготовлення  корегуючого розчину використовують або розчин рідкого скла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 xml:space="preserve">(ГОСТ 13078-67), або твердий продукт у вигляді глиб чи гранул (ГОСТ 13079-67), які розчиняють в гарячій воді (70 ... 100 </w:t>
      </w:r>
      <w:r>
        <w:rPr>
          <w:rFonts w:ascii="Times New Roman" w:hAnsi="Times New Roman"/>
          <w:sz w:val="24"/>
          <w:vertAlign w:val="superscript"/>
        </w:rPr>
        <w:t>о</w:t>
      </w:r>
      <w:r>
        <w:rPr>
          <w:rFonts w:ascii="Times New Roman" w:hAnsi="Times New Roman"/>
          <w:sz w:val="24"/>
        </w:rPr>
        <w:t>С). Розбавлений розчин (розчин від насосів–дозаторів) має густину ρ = 1,03 ...1,08 г/см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Хімічна формула рідкого скла записується у вигляді Nа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О∙m SіО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, де m=2,4...3,4. Спрощено формула має вигляд: Nа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О∙3 SіО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.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Силікатна обробка ефективна для вод , вміст сульфатів та хлоридів в яких не перевищує 200 мг/л, кремнєвміст SіО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  <w:vertAlign w:val="superscript"/>
        </w:rPr>
        <w:t>2-</w:t>
      </w:r>
      <w:r>
        <w:rPr>
          <w:rFonts w:ascii="Times New Roman" w:hAnsi="Times New Roman"/>
          <w:sz w:val="24"/>
        </w:rPr>
        <w:t xml:space="preserve"> до 15 мг/л та жорсткість до 5 мг-екв/л.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обробленій воді концентрація силікатів не повинна перевищувати 50 мг/л.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Найбільш ефективна силікатна обробка вод з індексом Ланжельє  J≤0 та з вмістом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(Сℓ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</w:rPr>
        <w:t xml:space="preserve"> + SО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  <w:vertAlign w:val="superscript"/>
        </w:rPr>
        <w:t>2-</w:t>
      </w:r>
      <w:r>
        <w:rPr>
          <w:rFonts w:ascii="Times New Roman" w:hAnsi="Times New Roman"/>
          <w:sz w:val="24"/>
        </w:rPr>
        <w:t>) ≤ 50 мг/л, тобто – «м'яких вод».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Розрахункову дозу корегуючого реагенту можливо знайти  по табл. 1.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i w:val="1"/>
          <w:sz w:val="24"/>
        </w:rPr>
        <w:t>Рекомендовані дози силікатів</w:t>
      </w:r>
      <w:r>
        <w:rPr>
          <w:rFonts w:ascii="Times New Roman" w:hAnsi="Times New Roman"/>
          <w:sz w:val="24"/>
        </w:rPr>
        <w:t xml:space="preserve">                                                 Таблиця 1</w:t>
      </w:r>
    </w:p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c>
          <w:tcPr>
            <w:tcW w:w="6380" w:type="dxa"/>
            <w:gridSpan w:val="2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Показники        якості             води</w:t>
            </w:r>
          </w:p>
        </w:tc>
        <w:tc>
          <w:tcPr>
            <w:tcW w:w="3191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Доза силікатів в перерахунку на SіО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2-</w:t>
            </w:r>
            <w:r>
              <w:rPr>
                <w:rFonts w:ascii="Times New Roman" w:hAnsi="Times New Roman"/>
                <w:sz w:val="24"/>
              </w:rPr>
              <w:t>, мг/л</w:t>
            </w:r>
          </w:p>
        </w:tc>
      </w:tr>
      <w:tr>
        <w:trPr>
          <w:trHeight w:hRule="atLeast" w:val="716"/>
        </w:trPr>
        <w:tc>
          <w:tcPr>
            <w:tcW w:w="3190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Індекс Ланжельє при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 </w:t>
            </w:r>
            <w:r>
              <w:rPr>
                <w:rFonts w:ascii="Times New Roman" w:hAnsi="Times New Roman"/>
                <w:sz w:val="24"/>
                <w:vertAlign w:val="superscript"/>
              </w:rPr>
              <w:t>о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31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Сℓ</w:t>
            </w:r>
            <w:r>
              <w:rPr>
                <w:rFonts w:ascii="Times New Roman" w:hAnsi="Times New Roman"/>
                <w:sz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+ SО</w:t>
            </w:r>
            <w:r>
              <w:rPr>
                <w:rFonts w:ascii="Times New Roman" w:hAnsi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2-</w:t>
            </w:r>
            <w:r>
              <w:rPr>
                <w:rFonts w:ascii="Times New Roman" w:hAnsi="Times New Roman"/>
                <w:sz w:val="24"/>
              </w:rPr>
              <w:t xml:space="preserve"> , мг/л</w:t>
            </w:r>
          </w:p>
        </w:tc>
        <w:tc>
          <w:tcPr>
            <w:tcW w:w="319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31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-0,5&lt;J≤0</w:t>
            </w:r>
          </w:p>
        </w:tc>
        <w:tc>
          <w:tcPr>
            <w:tcW w:w="31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 50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w="31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-1,5&lt;J≤ -0,5</w:t>
            </w:r>
          </w:p>
        </w:tc>
        <w:tc>
          <w:tcPr>
            <w:tcW w:w="31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 50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c>
          <w:tcPr>
            <w:tcW w:w="3190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J&gt;0</w:t>
            </w:r>
          </w:p>
        </w:tc>
        <w:tc>
          <w:tcPr>
            <w:tcW w:w="31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50 ... 100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>
        <w:tc>
          <w:tcPr>
            <w:tcW w:w="3190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100 ... 200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hRule="atLeast" w:val="308"/>
        </w:trPr>
        <w:tc>
          <w:tcPr>
            <w:tcW w:w="3190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≤50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Хімічні процеси та процеси утворення на поверхні теплообміну захисної плівки описуються наступним рівнянням.</w:t>
      </w:r>
    </w:p>
    <w:p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Nа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О∙3 SіО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+ Н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О +СО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= 2NаНСО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+ 3 SіО</w:t>
      </w:r>
      <w:r>
        <w:rPr>
          <w:rFonts w:ascii="Times New Roman" w:hAnsi="Times New Roman"/>
          <w:sz w:val="24"/>
          <w:vertAlign w:val="subscript"/>
        </w:rPr>
        <w:t>2</w:t>
      </w:r>
    </w:p>
    <w:p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Поява у воді NаНСО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робить воду лужною з рН біля 8, а SіО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утворює захисну плівку на поверхні. І лужність і плівка забезпечують захист від корозії металевих поверхонь.</w:t>
      </w:r>
    </w:p>
    <w:p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Варіант схеми  приготування та дозування силікату натрію наводиться на рис. 1.</w:t>
      </w:r>
    </w:p>
    <w:p>
      <w:pPr>
        <w:ind w:hanging="0"/>
        <w:jc w:val="center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854700" cy="278003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27800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Рис.1. Схема приготування та дозування силікату натрію: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 xml:space="preserve">1-залізнодорожна цистерна;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 xml:space="preserve">2- ємність для збереження силікату натрію,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 xml:space="preserve">3,6 – насос перекачки та перемішування рідкого скла;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 xml:space="preserve">4,7- лінії байпасу (прекачки для перемішування);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 xml:space="preserve">5- робочий бак рідкого скла;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 xml:space="preserve">8 – бак-мірник витрат рідкого скла,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 xml:space="preserve">9- насос –дозатор;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 xml:space="preserve">10-механічний фільтр;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11- дренажна лінія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right="0"/>
        <w:rPr>
          <w:rFonts w:ascii="Times New Roman" w:hAnsi="Times New Roman"/>
          <w:sz w:val="24"/>
        </w:rPr>
      </w:pP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Дозування силікату натрію забезпечує: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продовження строку служби трубок підігрівачів;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зниження корозії металевих труб тепломережі;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зниження заносу та утворення відкладень у підігрівачах та нагрівальних приладах та зменшення температурних напорів на 4 ... 6 </w:t>
      </w:r>
      <w:r>
        <w:rPr>
          <w:rFonts w:ascii="Times New Roman" w:hAnsi="Times New Roman"/>
          <w:sz w:val="24"/>
          <w:vertAlign w:val="superscript"/>
        </w:rPr>
        <w:t>о</w:t>
      </w:r>
      <w:r>
        <w:rPr>
          <w:rFonts w:ascii="Times New Roman" w:hAnsi="Times New Roman"/>
          <w:sz w:val="24"/>
        </w:rPr>
        <w:t>С;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зменшення кількості та продовжності хімпромивок;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зниження вмісту заліза та покращення показника «кольоровість» державного стандарту «Питна вода».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right="0"/>
        <w:jc w:val="center"/>
        <w:rPr>
          <w:rFonts w:ascii="Times New Roman" w:hAnsi="Times New Roman"/>
          <w:b w:val="1"/>
          <w:sz w:val="24"/>
        </w:rPr>
      </w:pP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Література</w:t>
      </w:r>
    </w:p>
    <w:p>
      <w:pPr>
        <w:pStyle w:val="P2"/>
        <w:keepNext w:val="0"/>
        <w:widowControl w:val="1"/>
        <w:shd w:val="clear" w:fill="auto"/>
        <w:spacing w:lineRule="auto" w:line="360" w:after="0" w:beforeAutospacing="0" w:afterAutospacing="0"/>
        <w:ind w:firstLine="720" w:left="0" w:right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Кардасевич О.</w:t>
      </w:r>
      <w:r>
        <w:rPr>
          <w:sz w:val="24"/>
        </w:rPr>
        <w:t xml:space="preserve"> </w:t>
      </w:r>
      <w:r>
        <w:rPr>
          <w:sz w:val="24"/>
        </w:rPr>
        <w:t xml:space="preserve">О. Водні режими теплових і атомних електростанцій. Одесса. Підручник. Наука і техніка. </w:t>
      </w:r>
      <w:r>
        <w:rPr>
          <w:sz w:val="24"/>
        </w:rPr>
        <w:t>2014. -</w:t>
      </w:r>
      <w:r>
        <w:rPr>
          <w:sz w:val="24"/>
        </w:rPr>
        <w:t xml:space="preserve"> </w:t>
      </w:r>
      <w:r>
        <w:rPr>
          <w:sz w:val="24"/>
        </w:rPr>
        <w:t>255 с.</w:t>
      </w:r>
    </w:p>
    <w:p>
      <w:pPr>
        <w:pStyle w:val="P2"/>
        <w:keepNext w:val="0"/>
        <w:widowControl w:val="1"/>
        <w:shd w:val="clear" w:fill="auto"/>
        <w:spacing w:lineRule="auto" w:line="360" w:after="0" w:beforeAutospacing="0" w:afterAutospacing="0"/>
        <w:ind w:firstLine="720" w:left="0" w:right="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>Соколов Е.</w:t>
      </w:r>
      <w:r>
        <w:rPr>
          <w:sz w:val="24"/>
        </w:rPr>
        <w:t xml:space="preserve"> </w:t>
      </w:r>
      <w:r>
        <w:rPr>
          <w:sz w:val="24"/>
        </w:rPr>
        <w:t>Я. Теплофикация и тепловые сети . М.: Энергоиздат, 1982.− 340 с.</w:t>
      </w:r>
    </w:p>
    <w:p>
      <w:pPr>
        <w:pStyle w:val="P3"/>
        <w:keepNext w:val="0"/>
        <w:widowControl w:val="1"/>
        <w:shd w:val="clear" w:fill="auto"/>
        <w:tabs>
          <w:tab w:val="left" w:pos="993" w:leader="none"/>
        </w:tabs>
        <w:spacing w:lineRule="auto" w:line="360" w:after="0" w:beforeAutospacing="0" w:afterAutospacing="0"/>
        <w:ind w:firstLine="720" w:righ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 Н.</w:t>
      </w:r>
      <w:r>
        <w:rPr>
          <w:sz w:val="24"/>
        </w:rPr>
        <w:t xml:space="preserve"> </w:t>
      </w:r>
      <w:r>
        <w:rPr>
          <w:sz w:val="24"/>
        </w:rPr>
        <w:t>П.Лапотышкина, Р.</w:t>
      </w:r>
      <w:r>
        <w:rPr>
          <w:sz w:val="24"/>
        </w:rPr>
        <w:t xml:space="preserve"> </w:t>
      </w:r>
      <w:r>
        <w:rPr>
          <w:sz w:val="24"/>
        </w:rPr>
        <w:t xml:space="preserve">П.Сазонов. Водоподготовка и ВХР теплових сетей     М.:Энергоиздат,</w:t>
      </w:r>
      <w:r>
        <w:rPr>
          <w:sz w:val="24"/>
        </w:rPr>
        <w:t xml:space="preserve"> </w:t>
      </w:r>
      <w:r>
        <w:rPr>
          <w:sz w:val="24"/>
        </w:rPr>
        <w:t>1982.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201 с</w:t>
      </w:r>
      <w:r>
        <w:rPr>
          <w:sz w:val="24"/>
        </w:rPr>
        <w:t>.</w:t>
      </w: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firstLine="72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Н.Бондаренко Подготовка воды и водно-химический режим тепловых сетей. Одесса. ОГПУ 2000. </w:t>
      </w: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firstLine="72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Маргулова Т.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Х., Мартынова О.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И. Водные режимы тепловых и атомных электростанций: Учеб. для вузов по спец. «Технология воды и топлива на тепловых и  атомных электростанциях».− 2 –е изд.,испр. и доп. − М.: Высш. шк., 1987. − 319 с..   </w:t>
      </w:r>
    </w:p>
    <w:p>
      <w:pPr>
        <w:pStyle w:val="P1"/>
        <w:keepNext w:val="0"/>
        <w:widowControl w:val="1"/>
        <w:shd w:val="clear" w:fill="auto"/>
        <w:tabs>
          <w:tab w:val="left" w:pos="983" w:leader="none"/>
        </w:tabs>
        <w:spacing w:lineRule="auto" w:line="360" w:after="0" w:beforeAutospacing="0" w:afterAutospacing="0"/>
        <w:ind w:firstLine="72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Кострикин Ю.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М. и др. Водоподготовка и водный режим энергообъектов низкого и среднего давления: Справочник.− М.: Энергоатомиздат, 1990. – 254 с.</w:t>
      </w:r>
    </w:p>
    <w:p>
      <w:pPr>
        <w:pStyle w:val="P1"/>
        <w:keepNext w:val="0"/>
        <w:widowControl w:val="1"/>
        <w:shd w:val="clear" w:fill="auto"/>
        <w:tabs>
          <w:tab w:val="left" w:pos="983" w:leader="none"/>
        </w:tabs>
        <w:spacing w:lineRule="auto" w:line="360" w:after="0" w:beforeAutospacing="0" w:afterAutospacing="0"/>
        <w:ind w:firstLine="72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Промышленная теплоэнергетика и теплотехника . Справочник под.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ред. 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А. Григорьева и 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М.Зорина. М.: Энергоатомиздат,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1983.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546 с</w:t>
      </w:r>
      <w:r>
        <w:rPr>
          <w:rFonts w:ascii="Times New Roman" w:hAnsi="Times New Roman"/>
          <w:sz w:val="24"/>
        </w:rPr>
        <w:t>.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continuous"/>
      <w:pgMar w:left="1701" w:right="850" w:top="1134" w:bottom="1134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</w:rPr>
      <w:t>Тези доповідей 56-ої конференції молодих дослідників ДУОП-бакалаврів “Сучасні інформаційні технології та телекомунікаційні мережі” // Одеса: ДУОП, 2021. Вип. 56.</w:t>
    </w:r>
  </w:p>
  <w:p/>
</w:hdr>
</file>

<file path=word/numbering.xml><?xml version="1.0" encoding="utf-8"?>
<w:numbering xmlns:w="http://schemas.openxmlformats.org/wordprocessingml/2006/main">
  <w:abstractNum w:abstractNumId="0">
    <w:nsid w:val="70B640DE"/>
    <w:multiLevelType w:val="hybridMultilevel"/>
    <w:lvl w:ilvl="0">
      <w:start w:val="1"/>
      <w:numFmt w:val="bullet"/>
      <w:suff w:val="tab"/>
      <w:lvlText w:val="-"/>
      <w:lvlJc w:val="left"/>
      <w:pPr>
        <w:ind w:hanging="360" w:left="900"/>
        <w:tabs>
          <w:tab w:val="left" w:pos="900" w:leader="none"/>
        </w:tabs>
      </w:pPr>
      <w:rPr>
        <w:b w:val="1"/>
      </w:rPr>
    </w:lvl>
    <w:lvl w:ilvl="1" w:tplc="6963EB85">
      <w:start w:val="1"/>
      <w:numFmt w:val="decimal"/>
      <w:suff w:val="tab"/>
      <w:lvlText w:val="%1."/>
      <w:lvlJc w:val="left"/>
      <w:pPr/>
      <w:rPr/>
    </w:lvl>
    <w:lvl w:ilvl="2" w:tplc="37157D4E">
      <w:start w:val="1"/>
      <w:numFmt w:val="decimal"/>
      <w:suff w:val="tab"/>
      <w:lvlText w:val="%1."/>
      <w:lvlJc w:val="left"/>
      <w:pPr/>
      <w:rPr/>
    </w:lvl>
    <w:lvl w:ilvl="3" w:tplc="79A925BF">
      <w:start w:val="1"/>
      <w:numFmt w:val="decimal"/>
      <w:suff w:val="tab"/>
      <w:lvlText w:val="%1."/>
      <w:lvlJc w:val="left"/>
      <w:pPr/>
      <w:rPr/>
    </w:lvl>
    <w:lvl w:ilvl="4" w:tplc="655E8CB8">
      <w:start w:val="1"/>
      <w:numFmt w:val="decimal"/>
      <w:suff w:val="tab"/>
      <w:lvlText w:val="%1."/>
      <w:lvlJc w:val="left"/>
      <w:pPr/>
      <w:rPr/>
    </w:lvl>
    <w:lvl w:ilvl="5" w:tplc="4371110F">
      <w:start w:val="1"/>
      <w:numFmt w:val="decimal"/>
      <w:suff w:val="tab"/>
      <w:lvlText w:val="%1."/>
      <w:lvlJc w:val="left"/>
      <w:pPr/>
      <w:rPr/>
    </w:lvl>
    <w:lvl w:ilvl="6" w:tplc="5A7B2F3D">
      <w:start w:val="1"/>
      <w:numFmt w:val="decimal"/>
      <w:suff w:val="tab"/>
      <w:lvlText w:val="%1."/>
      <w:lvlJc w:val="left"/>
      <w:pPr/>
      <w:rPr/>
    </w:lvl>
    <w:lvl w:ilvl="7" w:tplc="5C397908">
      <w:start w:val="1"/>
      <w:numFmt w:val="decimal"/>
      <w:suff w:val="tab"/>
      <w:lvlText w:val="%1."/>
      <w:lvlJc w:val="left"/>
      <w:pPr/>
      <w:rPr/>
    </w:lvl>
    <w:lvl w:ilvl="8" w:tplc="4573643F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Plain Text"/>
    <w:basedOn w:val="P0"/>
    <w:link w:val="C3"/>
    <w:pPr>
      <w:spacing w:lineRule="auto" w:line="240" w:after="0" w:beforeAutospacing="0" w:afterAutospacing="0"/>
      <w:jc w:val="left"/>
    </w:pPr>
    <w:rPr>
      <w:rFonts w:ascii="Courier New" w:hAnsi="Courier New"/>
      <w:sz w:val="20"/>
    </w:rPr>
  </w:style>
  <w:style w:type="paragraph" w:styleId="P2">
    <w:name w:val="List"/>
    <w:basedOn w:val="P0"/>
    <w:pPr>
      <w:spacing w:lineRule="auto" w:line="240" w:after="0" w:beforeAutospacing="0" w:afterAutospacing="0"/>
      <w:ind w:hanging="283" w:left="283"/>
    </w:pPr>
    <w:rPr>
      <w:rFonts w:ascii="Times New Roman" w:hAnsi="Times New Roman"/>
      <w:sz w:val="20"/>
    </w:rPr>
  </w:style>
  <w:style w:type="paragraph" w:styleId="P3">
    <w:name w:val="Body Text Indent 2"/>
    <w:basedOn w:val="P0"/>
    <w:link w:val="C4"/>
    <w:pPr>
      <w:spacing w:lineRule="auto" w:line="240" w:after="0" w:beforeAutospacing="0" w:afterAutospacing="0"/>
      <w:ind w:hanging="108" w:right="-125"/>
    </w:pPr>
    <w:rPr>
      <w:rFonts w:ascii="Times New Roman" w:hAnsi="Times New Roman"/>
      <w:sz w:val="30"/>
    </w:rPr>
  </w:style>
  <w:style w:type="paragraph" w:styleId="P4">
    <w:name w:val="header"/>
    <w:basedOn w:val="P0"/>
    <w:link w:val="C5"/>
    <w:pPr>
      <w:tabs>
        <w:tab w:val="center" w:pos="4844" w:leader="none"/>
        <w:tab w:val="right" w:pos="9689" w:leader="none"/>
      </w:tabs>
      <w:spacing w:lineRule="auto" w:line="240" w:after="0" w:beforeAutospacing="0" w:afterAutospacing="0"/>
    </w:pPr>
    <w:rPr/>
  </w:style>
  <w:style w:type="paragraph" w:styleId="P5">
    <w:name w:val="footer"/>
    <w:basedOn w:val="P0"/>
    <w:link w:val="C6"/>
    <w:pPr>
      <w:tabs>
        <w:tab w:val="center" w:pos="4844" w:leader="none"/>
        <w:tab w:val="right" w:pos="9689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Знак"/>
    <w:basedOn w:val="C0"/>
    <w:link w:val="P1"/>
    <w:rPr>
      <w:rFonts w:ascii="Courier New" w:hAnsi="Courier New"/>
      <w:sz w:val="20"/>
    </w:rPr>
  </w:style>
  <w:style w:type="character" w:styleId="C4">
    <w:name w:val="Основной текст с отступом 2 Знак"/>
    <w:basedOn w:val="C0"/>
    <w:link w:val="P3"/>
    <w:rPr>
      <w:rFonts w:ascii="Times New Roman" w:hAnsi="Times New Roman"/>
      <w:sz w:val="30"/>
    </w:rPr>
  </w:style>
  <w:style w:type="character" w:styleId="C5">
    <w:name w:val="Верхний колонтитул Знак"/>
    <w:basedOn w:val="C0"/>
    <w:link w:val="P4"/>
    <w:rPr/>
  </w:style>
  <w:style w:type="character" w:styleId="C6">
    <w:name w:val="Нижний колонтитул Знак"/>
    <w:basedOn w:val="C0"/>
    <w:link w:val="P5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