
<file path=[Content_Types].xml><?xml version="1.0" encoding="utf-8"?>
<Types xmlns="http://schemas.openxmlformats.org/package/2006/content-types">
  <Default Extension="rels" ContentType="application/vnd.openxmlformats-package.relationships+xml"/>
  <Default Extension="wmf" ContentType="application/x-msmetafile"/>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2DCA1082"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4"/>
        <w:spacing w:after="160" w:beforeAutospacing="0" w:afterAutospacing="0"/>
        <w:ind w:left="0"/>
        <w:rPr>
          <w:rFonts w:ascii="Times New Roman" w:hAnsi="Times New Roman"/>
          <w:b w:val="1"/>
          <w:sz w:val="24"/>
        </w:rPr>
      </w:pPr>
    </w:p>
    <w:p>
      <w:pPr>
        <w:pStyle w:val="P14"/>
        <w:spacing w:after="160" w:beforeAutospacing="0" w:afterAutospacing="0"/>
        <w:ind w:left="284"/>
        <w:jc w:val="center"/>
        <w:rPr>
          <w:rFonts w:ascii="Times New Roman" w:hAnsi="Times New Roman"/>
          <w:b w:val="1"/>
          <w:sz w:val="24"/>
        </w:rPr>
      </w:pPr>
      <w:r>
        <w:rPr>
          <w:rFonts w:ascii="Times New Roman" w:hAnsi="Times New Roman"/>
          <w:b w:val="1"/>
          <w:sz w:val="24"/>
        </w:rPr>
        <w:t>ОЦІНКА ЯКОСТІ ТРАНСПОРТНОГО ОБСЛУГОВУВАННЯ МЕШКАНЦІВ МІСТ</w:t>
      </w:r>
    </w:p>
    <w:p>
      <w:pPr>
        <w:pStyle w:val="P14"/>
        <w:spacing w:after="160" w:beforeAutospacing="0" w:afterAutospacing="0"/>
        <w:ind w:left="0"/>
        <w:jc w:val="center"/>
        <w:rPr>
          <w:rFonts w:ascii="Times New Roman" w:hAnsi="Times New Roman"/>
          <w:b w:val="1"/>
          <w:sz w:val="24"/>
        </w:rPr>
      </w:pPr>
      <w:r>
        <w:rPr>
          <w:rFonts w:ascii="Times New Roman" w:hAnsi="Times New Roman"/>
          <w:b w:val="1"/>
          <w:sz w:val="24"/>
        </w:rPr>
        <w:t>ASSESSMENT OF THE QUALITY OF TRANSPORT SERVICES FOR CITY RESIDENTS</w:t>
      </w:r>
    </w:p>
    <w:p>
      <w:pPr>
        <w:pStyle w:val="P14"/>
        <w:spacing w:after="160" w:beforeAutospacing="0" w:afterAutospacing="0"/>
        <w:ind w:left="0"/>
        <w:jc w:val="center"/>
        <w:rPr>
          <w:rFonts w:ascii="Times New Roman" w:hAnsi="Times New Roman"/>
          <w:sz w:val="24"/>
          <w:shd w:val="clear" w:fill="FFFFFF"/>
        </w:rPr>
      </w:pPr>
      <w:r>
        <w:rPr>
          <w:rFonts w:ascii="Times New Roman" w:hAnsi="Times New Roman"/>
          <w:sz w:val="24"/>
        </w:rPr>
        <w:t>Нау</w:t>
      </w:r>
      <w:r>
        <w:rPr>
          <w:rFonts w:ascii="Times New Roman" w:hAnsi="Times New Roman"/>
          <w:sz w:val="24"/>
          <w:shd w:val="clear" w:fill="FFFFFF"/>
        </w:rPr>
        <w:t>ковий керівник: канд. техн. наук, проф. кафедри автомобільного транспорту та логістики</w:t>
      </w:r>
    </w:p>
    <w:p>
      <w:pPr>
        <w:pStyle w:val="P14"/>
        <w:spacing w:after="160" w:beforeAutospacing="0" w:afterAutospacing="0"/>
        <w:ind w:left="0"/>
        <w:jc w:val="center"/>
        <w:rPr>
          <w:rFonts w:ascii="Times New Roman" w:hAnsi="Times New Roman"/>
          <w:sz w:val="24"/>
          <w:shd w:val="clear" w:fill="FFFFFF"/>
        </w:rPr>
      </w:pPr>
      <w:r>
        <w:rPr>
          <w:rFonts w:ascii="Times New Roman" w:hAnsi="Times New Roman"/>
          <w:sz w:val="24"/>
          <w:shd w:val="clear" w:fill="FFFFFF"/>
        </w:rPr>
        <w:t xml:space="preserve">Меленчук Тетяна Михайлівна </w:t>
      </w:r>
    </w:p>
    <w:p>
      <w:pPr>
        <w:pStyle w:val="P14"/>
        <w:spacing w:after="0" w:beforeAutospacing="0" w:afterAutospacing="0"/>
        <w:ind w:left="0"/>
        <w:jc w:val="center"/>
        <w:rPr>
          <w:rFonts w:ascii="Times New Roman" w:hAnsi="Times New Roman"/>
          <w:sz w:val="24"/>
          <w:shd w:val="clear" w:fill="FFFFFF"/>
        </w:rPr>
      </w:pPr>
      <w:r>
        <w:rPr>
          <w:rFonts w:ascii="Times New Roman" w:hAnsi="Times New Roman"/>
          <w:sz w:val="24"/>
          <w:shd w:val="clear" w:fill="FFFFFF"/>
        </w:rPr>
        <w:t xml:space="preserve">Здобувачі магістратури Султан Анастасія Володимирівна, </w:t>
      </w:r>
    </w:p>
    <w:p>
      <w:pPr>
        <w:spacing w:lineRule="auto" w:line="240" w:after="0" w:beforeAutospacing="0" w:afterAutospacing="0"/>
        <w:ind w:firstLine="720"/>
        <w:jc w:val="center"/>
        <w:rPr>
          <w:rFonts w:ascii="Times New Roman" w:hAnsi="Times New Roman"/>
          <w:sz w:val="24"/>
          <w:shd w:val="clear" w:fill="FFFFFF"/>
        </w:rPr>
      </w:pPr>
      <w:r>
        <w:rPr>
          <w:rFonts w:ascii="Times New Roman" w:hAnsi="Times New Roman"/>
          <w:sz w:val="24"/>
          <w:shd w:val="clear" w:fill="FFFFFF"/>
        </w:rPr>
        <w:t>Пікарська Олександра Валеріївна</w:t>
      </w:r>
    </w:p>
    <w:p>
      <w:pPr>
        <w:spacing w:lineRule="auto" w:line="240" w:after="0" w:beforeAutospacing="0" w:afterAutospacing="0"/>
        <w:ind w:firstLine="720"/>
        <w:jc w:val="center"/>
        <w:rPr>
          <w:rFonts w:ascii="Times New Roman" w:hAnsi="Times New Roman"/>
          <w:sz w:val="24"/>
          <w:shd w:val="clear" w:fill="FFFFFF"/>
        </w:rPr>
      </w:pPr>
    </w:p>
    <w:p>
      <w:pPr>
        <w:spacing w:after="0" w:beforeAutospacing="0" w:afterAutospacing="0"/>
        <w:ind w:firstLine="720"/>
        <w:jc w:val="center"/>
        <w:rPr>
          <w:rFonts w:ascii="Times New Roman" w:hAnsi="Times New Roman"/>
          <w:sz w:val="24"/>
          <w:shd w:val="clear" w:fill="FFFFFF"/>
        </w:rPr>
      </w:pPr>
      <w:r>
        <w:rPr>
          <w:rFonts w:ascii="Times New Roman" w:hAnsi="Times New Roman"/>
          <w:sz w:val="24"/>
          <w:shd w:val="clear" w:fill="FFFFFF"/>
        </w:rPr>
        <w:t>Supervisor: Ph.D. tech. Sciences, Prof. Department of Road Transport and Logistics</w:t>
      </w:r>
    </w:p>
    <w:p>
      <w:pPr>
        <w:spacing w:after="0" w:beforeAutospacing="0" w:afterAutospacing="0"/>
        <w:ind w:firstLine="720"/>
        <w:jc w:val="center"/>
        <w:rPr>
          <w:rFonts w:ascii="Times New Roman" w:hAnsi="Times New Roman"/>
          <w:sz w:val="24"/>
          <w:shd w:val="clear" w:fill="FFFFFF"/>
        </w:rPr>
      </w:pPr>
      <w:r>
        <w:rPr>
          <w:rFonts w:ascii="Times New Roman" w:hAnsi="Times New Roman"/>
          <w:sz w:val="24"/>
          <w:shd w:val="clear" w:fill="FFFFFF"/>
        </w:rPr>
        <w:t>Melenchuk Tetyana Mykhailivna</w:t>
      </w:r>
    </w:p>
    <w:p>
      <w:pPr>
        <w:spacing w:after="0" w:beforeAutospacing="0" w:afterAutospacing="0"/>
        <w:ind w:firstLine="720"/>
        <w:jc w:val="center"/>
        <w:rPr>
          <w:rFonts w:ascii="Times New Roman" w:hAnsi="Times New Roman"/>
          <w:sz w:val="24"/>
          <w:shd w:val="clear" w:fill="FFFFFF"/>
        </w:rPr>
      </w:pPr>
      <w:r>
        <w:rPr>
          <w:rFonts w:ascii="Times New Roman" w:hAnsi="Times New Roman"/>
          <w:sz w:val="24"/>
          <w:shd w:val="clear" w:fill="FFFFFF"/>
        </w:rPr>
        <w:t>Applicants for a master's degree Sultan Anastasia Vladimirovna,</w:t>
      </w:r>
    </w:p>
    <w:p>
      <w:pPr>
        <w:spacing w:after="0" w:beforeAutospacing="0" w:afterAutospacing="0"/>
        <w:ind w:firstLine="720"/>
        <w:jc w:val="center"/>
        <w:rPr>
          <w:rFonts w:ascii="Times New Roman" w:hAnsi="Times New Roman"/>
          <w:sz w:val="24"/>
          <w:shd w:val="clear" w:fill="FFFFFF"/>
        </w:rPr>
      </w:pPr>
      <w:r>
        <w:rPr>
          <w:rFonts w:ascii="Times New Roman" w:hAnsi="Times New Roman"/>
          <w:sz w:val="24"/>
          <w:shd w:val="clear" w:fill="FFFFFF"/>
        </w:rPr>
        <w:t>Picarska Alexandra Valerievna</w:t>
      </w:r>
    </w:p>
    <w:p>
      <w:pPr>
        <w:spacing w:after="0" w:beforeAutospacing="0" w:afterAutospacing="0"/>
        <w:ind w:firstLine="720"/>
        <w:jc w:val="center"/>
        <w:rPr>
          <w:rFonts w:ascii="Times New Roman" w:hAnsi="Times New Roman"/>
          <w:sz w:val="24"/>
          <w:shd w:val="clear" w:fill="FFFFFF"/>
        </w:rPr>
      </w:pPr>
    </w:p>
    <w:p>
      <w:pPr>
        <w:ind w:firstLine="425"/>
        <w:jc w:val="both"/>
        <w:rPr>
          <w:i w:val="1"/>
        </w:rPr>
      </w:pPr>
      <w:r>
        <w:rPr>
          <w:rFonts w:ascii="Times New Roman" w:hAnsi="Times New Roman"/>
          <w:b w:val="1"/>
          <w:sz w:val="24"/>
          <w:shd w:val="clear" w:fill="FFFFFF"/>
        </w:rPr>
        <w:t>Анотація</w:t>
      </w:r>
      <w:r>
        <w:rPr>
          <w:rFonts w:ascii="Times New Roman" w:hAnsi="Times New Roman"/>
          <w:sz w:val="24"/>
          <w:shd w:val="clear" w:fill="FFFFFF"/>
        </w:rPr>
        <w:t xml:space="preserve">: Робота присвячена надання оцінки якості транспортного обслуговування мешканців міст. Було проведено аналіз системи транспортного обслуговування мешканців міст за допомогою опитування. </w:t>
      </w:r>
      <w:r>
        <w:rPr>
          <w:rFonts w:ascii="Times New Roman" w:hAnsi="Times New Roman"/>
          <w:sz w:val="24"/>
        </w:rPr>
        <w:t>Проведені дослідження значущості характеристик якості перевезення пасажирів міським громадським транспортом дали змогу встановити, що в процесі пересування найзначущішими є, по-перше, тривалість поїздки, по-друге, тривалість очікування автобусу, по-третє, безпека перевезень, по-четверте, рівень пересадочності при пересуванні.</w:t>
      </w:r>
      <w:r>
        <w:rPr>
          <w:i w:val="1"/>
        </w:rPr>
        <w:t xml:space="preserve"> </w:t>
      </w:r>
    </w:p>
    <w:p>
      <w:pPr>
        <w:ind w:firstLine="425"/>
        <w:jc w:val="both"/>
        <w:rPr>
          <w:rFonts w:ascii="Times New Roman" w:hAnsi="Times New Roman"/>
          <w:sz w:val="24"/>
        </w:rPr>
      </w:pPr>
      <w:r>
        <w:rPr>
          <w:rFonts w:ascii="Times New Roman" w:hAnsi="Times New Roman"/>
          <w:b w:val="1"/>
          <w:sz w:val="24"/>
        </w:rPr>
        <w:t>Ключові слова:</w:t>
      </w:r>
      <w:r>
        <w:rPr>
          <w:rFonts w:ascii="Times New Roman" w:hAnsi="Times New Roman"/>
          <w:sz w:val="24"/>
        </w:rPr>
        <w:t xml:space="preserve"> транспортне обслуговування, транспорт, якість, перевезення.</w:t>
      </w:r>
    </w:p>
    <w:p>
      <w:pPr>
        <w:jc w:val="both"/>
        <w:rPr>
          <w:rFonts w:ascii="Times New Roman" w:hAnsi="Times New Roman"/>
          <w:sz w:val="24"/>
        </w:rPr>
      </w:pPr>
      <w:r>
        <w:rPr>
          <w:rFonts w:ascii="Times New Roman" w:hAnsi="Times New Roman"/>
          <w:b w:val="1"/>
          <w:caps w:val="1"/>
          <w:sz w:val="24"/>
          <w:shd w:val="clear" w:fill="FFFFFF"/>
        </w:rPr>
        <w:t>Annotation:</w:t>
      </w:r>
      <w:r>
        <w:rPr>
          <w:rFonts w:ascii="Times New Roman" w:hAnsi="Times New Roman"/>
          <w:sz w:val="24"/>
        </w:rPr>
        <w:t xml:space="preserve"> The work is devoted to assessing the quality of transport services for urban residents. An analysis of the system of transport services for urban residents was conducted using a survey. Studies of the importance of the quality of passenger transport by public transport have established that in the process of movement the most important are, firstly, the duration of the trip, secondly, the length of waiting for the bus, thirdly, safety, fourthly, the level of transfer movement.</w:t>
      </w:r>
    </w:p>
    <w:p>
      <w:pPr>
        <w:jc w:val="both"/>
        <w:rPr>
          <w:rFonts w:ascii="Times New Roman" w:hAnsi="Times New Roman"/>
          <w:sz w:val="24"/>
        </w:rPr>
      </w:pPr>
      <w:r>
        <w:rPr>
          <w:rFonts w:ascii="Times New Roman" w:hAnsi="Times New Roman"/>
          <w:b w:val="1"/>
          <w:sz w:val="24"/>
        </w:rPr>
        <w:t>Key words:</w:t>
      </w:r>
      <w:r>
        <w:rPr>
          <w:rFonts w:ascii="Times New Roman" w:hAnsi="Times New Roman"/>
          <w:sz w:val="24"/>
        </w:rPr>
        <w:t xml:space="preserve"> transport service, transport, quality, transportation.</w:t>
      </w:r>
    </w:p>
    <w:p>
      <w:pPr>
        <w:pStyle w:val="P20"/>
        <w:shd w:val="clear" w:fill="FFFFFF"/>
        <w:spacing w:lineRule="auto" w:line="276" w:before="0" w:after="0" w:beforeAutospacing="0" w:afterAutospacing="0"/>
        <w:ind w:firstLine="708"/>
        <w:jc w:val="both"/>
        <w:rPr>
          <w:b w:val="1"/>
        </w:rPr>
      </w:pPr>
      <w:r>
        <w:t xml:space="preserve">В сучасних умовах посилення процесів урбанізації, розширення міст, перевантаження вуличних мереж транспортними засобами важливим питанням є створення безпечної, економічної, екологічно чистої і комфортної системи громадського транспорту, яка могла б забезпечити такий рівень якості перевезень, що стимулювало б мешканців міста змінювати пріоритети у пересуванні містом з приватного на громадський транспорт. </w:t>
      </w:r>
    </w:p>
    <w:p>
      <w:pPr>
        <w:pStyle w:val="P20"/>
        <w:shd w:val="clear" w:fill="FFFFFF"/>
        <w:spacing w:lineRule="auto" w:line="276" w:before="0" w:after="300" w:beforeAutospacing="0" w:afterAutospacing="0"/>
        <w:jc w:val="both"/>
      </w:pPr>
      <w:r>
        <w:t xml:space="preserve">      Оскільки основною метою побудови ефективної мережі громадського транспорту з чіткою і злагодженою організацією транспортного процесу є забезпечення високої якості обслуговування пасажирів, основним критерієм оцінки якості обслуговування пасажирів громадського транспорту. Окрім часу поїздки, для аналізу ефективності системи громадського транспорту важливими показниками також є регулярність руху по всьому шляху слідування, належне і раціональне використання рухомого складу, висока культура обслуговування пасажирів з найменшими витратами.</w:t>
      </w:r>
    </w:p>
    <w:p>
      <w:pPr>
        <w:ind w:firstLine="708"/>
        <w:jc w:val="both"/>
        <w:rPr>
          <w:rFonts w:ascii="Times New Roman" w:hAnsi="Times New Roman"/>
          <w:sz w:val="24"/>
        </w:rPr>
      </w:pPr>
      <w:r>
        <w:rPr>
          <w:rFonts w:ascii="Times New Roman" w:hAnsi="Times New Roman"/>
          <w:sz w:val="24"/>
        </w:rPr>
        <w:t xml:space="preserve">За даними Урядового контактного центру були виділені три основних проблеми, що заважають сталому функціонуванню транспортних розв’язок у містах: </w:t>
      </w:r>
    </w:p>
    <w:p>
      <w:pPr>
        <w:jc w:val="both"/>
        <w:rPr>
          <w:rFonts w:ascii="Times New Roman" w:hAnsi="Times New Roman"/>
          <w:sz w:val="24"/>
        </w:rPr>
      </w:pPr>
      <w:r>
        <w:rPr>
          <w:rFonts w:ascii="Times New Roman" w:hAnsi="Times New Roman"/>
          <w:sz w:val="24"/>
        </w:rPr>
        <w:t>– паркування приватного транспорту на проїжджій частині та тротуарах відразу біля розв’язок та зупинок громадського транспорту;</w:t>
      </w:r>
    </w:p>
    <w:p>
      <w:pPr>
        <w:jc w:val="both"/>
        <w:rPr>
          <w:rFonts w:ascii="Times New Roman" w:hAnsi="Times New Roman"/>
          <w:sz w:val="24"/>
        </w:rPr>
      </w:pPr>
      <w:r>
        <w:rPr>
          <w:rFonts w:ascii="Times New Roman" w:hAnsi="Times New Roman"/>
          <w:sz w:val="24"/>
        </w:rPr>
        <w:t xml:space="preserve"> – відсутність пріоритету громадського транспорту в дорожньому русі; – неефективні конструктиви транспортних розв’язок.</w:t>
      </w:r>
    </w:p>
    <w:p>
      <w:pPr>
        <w:jc w:val="both"/>
        <w:rPr>
          <w:rFonts w:ascii="Times New Roman" w:hAnsi="Times New Roman"/>
          <w:sz w:val="24"/>
        </w:rPr>
      </w:pPr>
      <w:r>
        <w:rPr>
          <w:rFonts w:ascii="Times New Roman" w:hAnsi="Times New Roman"/>
          <w:sz w:val="24"/>
        </w:rPr>
        <w:t xml:space="preserve"> Все це негативно відбивається на пропускній здатності дорожньої мережі для транспортних засобів громадського транспорту та дотриманні ними розкладів руху. </w:t>
      </w:r>
    </w:p>
    <w:p>
      <w:pPr>
        <w:pStyle w:val="P20"/>
        <w:shd w:val="clear" w:fill="FFFFFF"/>
        <w:spacing w:lineRule="auto" w:line="276" w:before="0" w:after="0" w:beforeAutospacing="0" w:afterAutospacing="0"/>
        <w:jc w:val="both"/>
        <w:rPr>
          <w:b w:val="1"/>
        </w:rPr>
      </w:pPr>
      <w:r>
        <w:t>Існують два напрямки в сфері транспортного обслуговування це насамперед обслуговування яке забезпечується за допомогою автоперевізників та не менш важливий напрямок – обслуговування електротранспортом.</w:t>
      </w:r>
    </w:p>
    <w:p>
      <w:pPr>
        <w:pStyle w:val="P20"/>
        <w:shd w:val="clear" w:fill="FFFFFF"/>
        <w:spacing w:lineRule="auto" w:line="276" w:before="0" w:after="0" w:beforeAutospacing="0" w:afterAutospacing="0"/>
        <w:ind w:firstLine="708"/>
        <w:jc w:val="both"/>
      </w:pPr>
      <w:r>
        <w:t>Надійна і ефективна робота електричного транспорту є найважливішим показником соціально-політичної та економічної стабільності міста. А також це екологічність, знижений рівень шуму, низька пожежо- і вибухонебезпечність під час аварії.У всіх містах Європи й України, де турбуються про чистоту повітря, намагаються «пересадити» пасажирів в громадський транспорт (менша кількість машин – менше диму) і розвивати електротранспорт.</w:t>
      </w:r>
    </w:p>
    <w:p>
      <w:pPr>
        <w:pStyle w:val="P20"/>
        <w:shd w:val="clear" w:fill="FFFFFF"/>
        <w:spacing w:lineRule="auto" w:line="276" w:before="240" w:after="0" w:beforeAutospacing="0" w:afterAutospacing="0"/>
        <w:ind w:firstLine="708"/>
        <w:jc w:val="both"/>
        <w:rPr>
          <w:b w:val="1"/>
        </w:rPr>
      </w:pPr>
      <w:r>
        <w:rPr>
          <w:b w:val="1"/>
        </w:rPr>
        <w:t xml:space="preserve">Переваги електротранспорту </w:t>
      </w:r>
    </w:p>
    <w:p>
      <w:pPr>
        <w:pStyle w:val="P20"/>
        <w:numPr>
          <w:ilvl w:val="0"/>
          <w:numId w:val="2"/>
        </w:numPr>
        <w:shd w:val="clear" w:fill="FFFFFF"/>
        <w:spacing w:lineRule="auto" w:line="276" w:before="240" w:after="0" w:beforeAutospacing="0" w:afterAutospacing="0"/>
        <w:jc w:val="both"/>
      </w:pPr>
      <w:r>
        <w:t>Доступнісь транспортних послуг:</w:t>
      </w:r>
    </w:p>
    <w:p>
      <w:pPr>
        <w:pStyle w:val="P20"/>
        <w:shd w:val="clear" w:fill="FFFFFF"/>
        <w:spacing w:lineRule="auto" w:line="276" w:before="240" w:after="0" w:beforeAutospacing="0" w:afterAutospacing="0"/>
        <w:ind w:firstLine="708"/>
        <w:jc w:val="both"/>
      </w:pPr>
      <w:r>
        <w:t xml:space="preserve"> • найнижча в місті вартість проїзду (мінімум вдвічі); </w:t>
      </w:r>
    </w:p>
    <w:p>
      <w:pPr>
        <w:pStyle w:val="P20"/>
        <w:shd w:val="clear" w:fill="FFFFFF"/>
        <w:spacing w:lineRule="auto" w:line="276" w:before="240" w:after="0" w:beforeAutospacing="0" w:afterAutospacing="0"/>
        <w:ind w:firstLine="708"/>
        <w:jc w:val="both"/>
      </w:pPr>
      <w:r>
        <w:t xml:space="preserve"> • безплатне перевезення пільгових категорій населення за повним переліком згідно законодавству.;</w:t>
      </w:r>
    </w:p>
    <w:p>
      <w:pPr>
        <w:pStyle w:val="P20"/>
        <w:shd w:val="clear" w:fill="FFFFFF"/>
        <w:spacing w:lineRule="auto" w:line="276" w:before="240" w:after="0" w:beforeAutospacing="0" w:afterAutospacing="0"/>
        <w:ind w:firstLine="708"/>
        <w:jc w:val="both"/>
      </w:pPr>
      <w:r>
        <w:t>2. Комфортні умови перевезення:</w:t>
      </w:r>
    </w:p>
    <w:p>
      <w:pPr>
        <w:pStyle w:val="P20"/>
        <w:shd w:val="clear" w:fill="FFFFFF"/>
        <w:spacing w:lineRule="auto" w:line="276" w:before="240" w:after="0" w:beforeAutospacing="0" w:afterAutospacing="0"/>
        <w:ind w:firstLine="708"/>
        <w:jc w:val="both"/>
      </w:pPr>
      <w:r>
        <w:t xml:space="preserve"> • закуплено нові зручні тролейбуси;</w:t>
      </w:r>
    </w:p>
    <w:p>
      <w:pPr>
        <w:pStyle w:val="P20"/>
        <w:shd w:val="clear" w:fill="FFFFFF"/>
        <w:spacing w:lineRule="auto" w:line="276" w:before="240" w:after="0" w:beforeAutospacing="0" w:afterAutospacing="0"/>
        <w:ind w:firstLine="708"/>
        <w:jc w:val="both"/>
      </w:pPr>
      <w:r>
        <w:t xml:space="preserve"> • велика пасажиромісткість.</w:t>
      </w:r>
    </w:p>
    <w:p>
      <w:pPr>
        <w:pStyle w:val="P20"/>
        <w:shd w:val="clear" w:fill="FFFFFF"/>
        <w:spacing w:lineRule="auto" w:line="276" w:before="240" w:after="0" w:beforeAutospacing="0" w:afterAutospacing="0"/>
        <w:ind w:firstLine="708"/>
        <w:jc w:val="both"/>
      </w:pPr>
      <w:r>
        <w:t xml:space="preserve"> • наявність безкоштовного Wi-Fi та/або USB (входів для підзарядки пристроїв) на бортах тролейбусів .</w:t>
      </w:r>
    </w:p>
    <w:p>
      <w:pPr>
        <w:pStyle w:val="P20"/>
        <w:shd w:val="clear" w:fill="FFFFFF"/>
        <w:spacing w:lineRule="auto" w:line="276" w:before="240" w:after="0" w:beforeAutospacing="0" w:afterAutospacing="0"/>
        <w:ind w:firstLine="708"/>
        <w:jc w:val="both"/>
      </w:pPr>
      <w:r>
        <w:t>3. Наявність розкладів руху тролейбусів на кожній зупинці.</w:t>
      </w:r>
    </w:p>
    <w:p>
      <w:pPr>
        <w:pStyle w:val="P20"/>
        <w:shd w:val="clear" w:fill="FFFFFF"/>
        <w:spacing w:lineRule="auto" w:line="276" w:before="240" w:after="0" w:beforeAutospacing="0" w:afterAutospacing="0"/>
        <w:ind w:firstLine="708"/>
        <w:jc w:val="both"/>
      </w:pPr>
      <w:r>
        <w:t>4. Зручне розміщення маршрутів.</w:t>
      </w:r>
    </w:p>
    <w:p>
      <w:pPr>
        <w:pStyle w:val="P20"/>
        <w:shd w:val="clear" w:fill="FFFFFF"/>
        <w:spacing w:lineRule="auto" w:line="276" w:before="240" w:after="0" w:beforeAutospacing="0" w:afterAutospacing="0"/>
        <w:ind w:firstLine="708"/>
        <w:jc w:val="both"/>
      </w:pPr>
      <w:r>
        <w:t>5. Екологічність транспорту.</w:t>
      </w:r>
    </w:p>
    <w:p>
      <w:pPr>
        <w:pStyle w:val="P20"/>
        <w:shd w:val="clear" w:fill="FFFFFF"/>
        <w:spacing w:lineRule="auto" w:line="276" w:before="240" w:after="0" w:beforeAutospacing="0" w:afterAutospacing="0"/>
        <w:ind w:firstLine="708"/>
        <w:jc w:val="both"/>
      </w:pPr>
      <w:r>
        <w:t>6. Можливість відстежування в реальному часі за допомогою додаткових програм.</w:t>
      </w:r>
    </w:p>
    <w:p>
      <w:pPr>
        <w:pStyle w:val="P20"/>
        <w:shd w:val="clear" w:fill="FFFFFF"/>
        <w:spacing w:lineRule="auto" w:line="276" w:before="240" w:after="0" w:beforeAutospacing="0" w:afterAutospacing="0"/>
        <w:ind w:firstLine="708"/>
        <w:jc w:val="both"/>
        <w:rPr>
          <w:b w:val="1"/>
        </w:rPr>
      </w:pPr>
      <w:r>
        <w:rPr>
          <w:b w:val="1"/>
        </w:rPr>
        <w:t xml:space="preserve">Недоліки електротранспорту </w:t>
      </w:r>
    </w:p>
    <w:p>
      <w:pPr>
        <w:pStyle w:val="P20"/>
        <w:shd w:val="clear" w:fill="FFFFFF"/>
        <w:spacing w:lineRule="auto" w:line="276" w:before="240" w:after="0" w:beforeAutospacing="0" w:afterAutospacing="0"/>
        <w:ind w:firstLine="708"/>
        <w:jc w:val="both"/>
      </w:pPr>
      <w:r>
        <w:t>1. Недотримання розкладу руху тролейбусів.</w:t>
      </w:r>
    </w:p>
    <w:p>
      <w:pPr>
        <w:pStyle w:val="P20"/>
        <w:shd w:val="clear" w:fill="FFFFFF"/>
        <w:spacing w:lineRule="auto" w:line="276" w:before="240" w:after="0" w:beforeAutospacing="0" w:afterAutospacing="0"/>
        <w:ind w:firstLine="708"/>
        <w:jc w:val="both"/>
      </w:pPr>
      <w:r>
        <w:t>2. Не завжди справні системи або відсутні (на</w:t>
      </w:r>
    </w:p>
    <w:p>
      <w:pPr>
        <w:pStyle w:val="P20"/>
        <w:shd w:val="clear" w:fill="FFFFFF"/>
        <w:spacing w:lineRule="auto" w:line="276" w:before="240" w:after="0" w:beforeAutospacing="0" w:afterAutospacing="0"/>
        <w:ind w:firstLine="708"/>
        <w:jc w:val="both"/>
      </w:pPr>
      <w:r>
        <w:t xml:space="preserve">старих моделях) Wi-Fi та/або USB на бортах </w:t>
      </w:r>
    </w:p>
    <w:p>
      <w:pPr>
        <w:pStyle w:val="P20"/>
        <w:shd w:val="clear" w:fill="FFFFFF"/>
        <w:spacing w:lineRule="auto" w:line="276" w:before="240" w:after="0" w:beforeAutospacing="0" w:afterAutospacing="0"/>
        <w:ind w:firstLine="708"/>
        <w:jc w:val="both"/>
      </w:pPr>
      <w:r>
        <w:t xml:space="preserve">тролейбусів. </w:t>
      </w:r>
    </w:p>
    <w:p>
      <w:pPr>
        <w:pStyle w:val="P20"/>
        <w:shd w:val="clear" w:fill="FFFFFF"/>
        <w:spacing w:lineRule="auto" w:line="276" w:before="0" w:after="0" w:beforeAutospacing="0" w:afterAutospacing="0"/>
        <w:ind w:firstLine="708"/>
        <w:jc w:val="both"/>
      </w:pPr>
      <w:r>
        <w:t>Загально відомо, що автомобільний транспорт є провідним з-поміж усіх видів транспорту за обсягами перевезень і масштабами впливу на майже всі аспекти нашого життя.</w:t>
      </w:r>
    </w:p>
    <w:p>
      <w:pPr>
        <w:pStyle w:val="P20"/>
        <w:shd w:val="clear" w:fill="FFFFFF"/>
        <w:spacing w:lineRule="auto" w:line="276" w:before="0" w:after="300" w:beforeAutospacing="0" w:afterAutospacing="0"/>
        <w:jc w:val="both"/>
      </w:pPr>
      <w:r>
        <w:t>Крім того, надійні і якісні послуги, що надаються пасажирським транспортом, мають велике соціальне значення. Це забезпечує зручний доступ до місця роботи, сфери обслуговування, до медичних, освітніх і культурних закладів.</w:t>
      </w:r>
    </w:p>
    <w:p>
      <w:pPr>
        <w:pStyle w:val="P20"/>
        <w:shd w:val="clear" w:fill="FFFFFF"/>
        <w:spacing w:lineRule="auto" w:line="276" w:before="240" w:after="0" w:beforeAutospacing="0" w:afterAutospacing="0"/>
        <w:ind w:firstLine="708"/>
        <w:jc w:val="both"/>
        <w:rPr>
          <w:b w:val="1"/>
        </w:rPr>
      </w:pPr>
      <w:r>
        <w:rPr>
          <w:b w:val="1"/>
        </w:rPr>
        <w:t>Переваги автомобільного транспорту</w:t>
      </w:r>
    </w:p>
    <w:p>
      <w:pPr>
        <w:pStyle w:val="P20"/>
        <w:numPr>
          <w:ilvl w:val="0"/>
          <w:numId w:val="3"/>
        </w:numPr>
        <w:shd w:val="clear" w:fill="FFFFFF"/>
        <w:spacing w:lineRule="auto" w:line="276" w:before="240" w:beforeAutospacing="0" w:afterAutospacing="0"/>
        <w:jc w:val="both"/>
      </w:pPr>
      <w:r>
        <w:t>приходять швидше за електротранспорт;</w:t>
      </w:r>
    </w:p>
    <w:p>
      <w:pPr>
        <w:pStyle w:val="P20"/>
        <w:numPr>
          <w:ilvl w:val="0"/>
          <w:numId w:val="3"/>
        </w:numPr>
        <w:shd w:val="clear" w:fill="FFFFFF"/>
        <w:spacing w:lineRule="auto" w:line="276" w:before="240" w:beforeAutospacing="0" w:afterAutospacing="0"/>
        <w:jc w:val="both"/>
      </w:pPr>
      <w:r>
        <w:t>володіють кращою маневреністю рухомого складу за рахунок якої рухаються швидше;</w:t>
      </w:r>
    </w:p>
    <w:p>
      <w:pPr>
        <w:pStyle w:val="P20"/>
        <w:numPr>
          <w:ilvl w:val="0"/>
          <w:numId w:val="3"/>
        </w:numPr>
        <w:shd w:val="clear" w:fill="FFFFFF"/>
        <w:spacing w:lineRule="auto" w:line="276" w:before="240" w:beforeAutospacing="0" w:afterAutospacing="0"/>
        <w:jc w:val="both"/>
      </w:pPr>
      <w:r>
        <w:t xml:space="preserve">мають більш розгалужену систему маршрутів </w:t>
      </w:r>
    </w:p>
    <w:p>
      <w:pPr>
        <w:pStyle w:val="P20"/>
        <w:shd w:val="clear" w:fill="FFFFFF"/>
        <w:spacing w:lineRule="auto" w:line="276" w:before="240" w:beforeAutospacing="0" w:afterAutospacing="0"/>
        <w:ind w:left="720"/>
        <w:jc w:val="both"/>
      </w:pPr>
      <w:r>
        <w:rPr>
          <w:b w:val="1"/>
        </w:rPr>
        <w:t>Недоліки автомобільного транспорту</w:t>
      </w:r>
    </w:p>
    <w:p>
      <w:pPr>
        <w:pStyle w:val="P20"/>
        <w:numPr>
          <w:ilvl w:val="0"/>
          <w:numId w:val="4"/>
        </w:numPr>
        <w:shd w:val="clear" w:fill="FFFFFF"/>
        <w:spacing w:lineRule="auto" w:line="276" w:before="240" w:beforeAutospacing="0" w:afterAutospacing="0"/>
        <w:jc w:val="both"/>
      </w:pPr>
      <w:r>
        <w:t>високоаварійний вид транспорту;</w:t>
      </w:r>
    </w:p>
    <w:p>
      <w:pPr>
        <w:pStyle w:val="P20"/>
        <w:numPr>
          <w:ilvl w:val="0"/>
          <w:numId w:val="4"/>
        </w:numPr>
        <w:shd w:val="clear" w:fill="FFFFFF"/>
        <w:spacing w:lineRule="auto" w:line="276" w:before="240" w:beforeAutospacing="0" w:afterAutospacing="0"/>
        <w:jc w:val="both"/>
      </w:pPr>
      <w:r>
        <w:t>агресивна манера водіння маршрутних таксі;</w:t>
      </w:r>
    </w:p>
    <w:p>
      <w:pPr>
        <w:pStyle w:val="P20"/>
        <w:numPr>
          <w:ilvl w:val="0"/>
          <w:numId w:val="4"/>
        </w:numPr>
        <w:shd w:val="clear" w:fill="FFFFFF"/>
        <w:spacing w:lineRule="auto" w:line="276" w:before="240" w:beforeAutospacing="0" w:afterAutospacing="0"/>
        <w:jc w:val="both"/>
      </w:pPr>
      <w:r>
        <w:t>можуть виходити на маршрут в неналежному технічному стані;</w:t>
      </w:r>
    </w:p>
    <w:p>
      <w:pPr>
        <w:pStyle w:val="P20"/>
        <w:numPr>
          <w:ilvl w:val="0"/>
          <w:numId w:val="4"/>
        </w:numPr>
        <w:shd w:val="clear" w:fill="FFFFFF"/>
        <w:spacing w:lineRule="auto" w:line="276" w:before="240" w:beforeAutospacing="0" w:afterAutospacing="0"/>
        <w:jc w:val="both"/>
      </w:pPr>
      <w:r>
        <w:t xml:space="preserve">«водій-касир»  який відволікається від управляння транспортним засобом;</w:t>
      </w:r>
    </w:p>
    <w:p>
      <w:pPr>
        <w:pStyle w:val="P20"/>
        <w:numPr>
          <w:ilvl w:val="0"/>
          <w:numId w:val="4"/>
        </w:numPr>
        <w:shd w:val="clear" w:fill="FFFFFF"/>
        <w:spacing w:lineRule="auto" w:line="276" w:before="240" w:beforeAutospacing="0" w:afterAutospacing="0"/>
        <w:jc w:val="both"/>
      </w:pPr>
      <w:r>
        <w:t>не пристосовані для перевезення інвалідів, пасажирів з дитячими </w:t>
      </w:r>
      <w:r>
        <w:fldChar w:fldCharType="begin"/>
      </w:r>
      <w:r>
        <w:instrText>HYPERLINK "https://ua-referat.com/%D0%9A%D0%BE%D0%BB%D1%8F%D1%81%D0%BA%D0%B0"</w:instrText>
      </w:r>
      <w:r>
        <w:fldChar w:fldCharType="separate"/>
      </w:r>
      <w:r>
        <w:rPr>
          <w:rStyle w:val="C2"/>
          <w:color w:val="auto"/>
        </w:rPr>
        <w:t>колясками</w:t>
      </w:r>
      <w:r>
        <w:rPr>
          <w:rStyle w:val="C2"/>
          <w:color w:val="auto"/>
        </w:rPr>
        <w:fldChar w:fldCharType="end"/>
      </w:r>
      <w:r>
        <w:t> або багажем</w:t>
      </w:r>
    </w:p>
    <w:p>
      <w:pPr>
        <w:ind w:firstLine="348" w:left="360"/>
        <w:jc w:val="both"/>
        <w:rPr>
          <w:rFonts w:ascii="Times New Roman" w:hAnsi="Times New Roman"/>
          <w:sz w:val="24"/>
        </w:rPr>
      </w:pPr>
      <w:r>
        <w:rPr>
          <w:rFonts w:ascii="Times New Roman" w:hAnsi="Times New Roman"/>
          <w:sz w:val="24"/>
        </w:rPr>
        <w:t xml:space="preserve">Для визначення значущості характеристик якості міського пасажирського транспорту проводилось натурне обстеження. </w:t>
      </w:r>
      <w:r>
        <w:rPr>
          <w:rFonts w:ascii="Times New Roman" w:hAnsi="Times New Roman"/>
          <w:color w:val="000000"/>
          <w:sz w:val="24"/>
        </w:rPr>
        <w:t>Для обстеження використовувався анкетний метод, який оснований на заповнені спеціальних анкет</w:t>
      </w:r>
      <w:r>
        <w:rPr>
          <w:rFonts w:ascii="Times New Roman" w:hAnsi="Times New Roman"/>
          <w:sz w:val="24"/>
        </w:rPr>
        <w:t>.</w:t>
      </w:r>
    </w:p>
    <w:p>
      <w:pPr>
        <w:ind w:firstLine="348" w:left="360"/>
        <w:jc w:val="both"/>
        <w:rPr>
          <w:rFonts w:ascii="Times New Roman" w:hAnsi="Times New Roman"/>
          <w:sz w:val="24"/>
        </w:rPr>
      </w:pPr>
      <w:r>
        <w:rPr>
          <w:rFonts w:ascii="Times New Roman" w:hAnsi="Times New Roman"/>
          <w:sz w:val="24"/>
        </w:rPr>
        <w:t>Обстеження проводилось на підприємствах міського пасажирського транспорту м. Одеса. Було проведене опитування серед користувачів міського пасажирського транспорту, які показники, за їх думкою, впливають на якість обслуговування.</w:t>
      </w:r>
    </w:p>
    <w:p>
      <w:pPr>
        <w:ind w:left="360"/>
        <w:jc w:val="both"/>
        <w:rPr>
          <w:rFonts w:ascii="Times New Roman" w:hAnsi="Times New Roman"/>
          <w:sz w:val="24"/>
        </w:rPr>
      </w:pPr>
      <w:r>
        <w:rPr>
          <w:rFonts w:ascii="Times New Roman" w:hAnsi="Times New Roman"/>
          <w:sz w:val="24"/>
        </w:rPr>
        <w:t>На першому етапі було проведено визначення факторів, які, за думкою пасажирів, впливають на якість обслуговування.</w:t>
      </w:r>
    </w:p>
    <w:p>
      <w:pPr>
        <w:ind w:left="360"/>
        <w:jc w:val="both"/>
        <w:rPr>
          <w:rFonts w:ascii="Times New Roman" w:hAnsi="Times New Roman"/>
          <w:sz w:val="24"/>
        </w:rPr>
      </w:pPr>
      <w:r>
        <w:rPr>
          <w:rFonts w:ascii="Times New Roman" w:hAnsi="Times New Roman"/>
          <w:sz w:val="24"/>
        </w:rPr>
        <w:t>На наступному етапі було розроблено анкету, за допомогою якої можливо проведення експертної оцінки значущості показників транспортного процесу, як показників якості. Експертами виступали користувачі міського пасажирського транспорту, які оцінювали праметри за шкалою від найбільш значущого до найменш значущого.</w:t>
      </w:r>
    </w:p>
    <w:p>
      <w:pPr>
        <w:pStyle w:val="P20"/>
        <w:shd w:val="clear" w:fill="FFFFFF"/>
        <w:spacing w:lineRule="auto" w:line="276" w:before="0" w:after="300" w:beforeAutospacing="0" w:afterAutospacing="0"/>
        <w:jc w:val="both"/>
      </w:pPr>
      <w:r>
        <w:t>Основними проблемами, які порушувалися у зверненнях, були:</w:t>
      </w:r>
    </w:p>
    <w:p>
      <w:pPr>
        <w:pStyle w:val="P20"/>
        <w:numPr>
          <w:ilvl w:val="0"/>
          <w:numId w:val="5"/>
        </w:numPr>
        <w:shd w:val="clear" w:fill="FFFFFF"/>
        <w:spacing w:lineRule="auto" w:line="276" w:before="0" w:after="300" w:beforeAutospacing="0" w:afterAutospacing="0"/>
        <w:jc w:val="both"/>
      </w:pPr>
      <w:r>
        <w:t>маршрутні сполучення;</w:t>
      </w:r>
    </w:p>
    <w:p>
      <w:pPr>
        <w:pStyle w:val="P20"/>
        <w:numPr>
          <w:ilvl w:val="0"/>
          <w:numId w:val="5"/>
        </w:numPr>
        <w:shd w:val="clear" w:fill="FFFFFF"/>
        <w:spacing w:lineRule="auto" w:line="276" w:before="0" w:after="300" w:beforeAutospacing="0" w:afterAutospacing="0"/>
        <w:jc w:val="both"/>
      </w:pPr>
      <w:r>
        <w:t>графіки перевезень;</w:t>
      </w:r>
    </w:p>
    <w:p>
      <w:pPr>
        <w:pStyle w:val="P20"/>
        <w:numPr>
          <w:ilvl w:val="0"/>
          <w:numId w:val="5"/>
        </w:numPr>
        <w:shd w:val="clear" w:fill="FFFFFF"/>
        <w:spacing w:lineRule="auto" w:line="276" w:before="0" w:after="300" w:beforeAutospacing="0" w:afterAutospacing="0"/>
        <w:jc w:val="both"/>
      </w:pPr>
      <w:r>
        <w:t>якість перевезень</w:t>
      </w:r>
      <w:r>
        <w:rPr>
          <w:rStyle w:val="C15"/>
        </w:rPr>
        <w:t>.</w:t>
      </w:r>
    </w:p>
    <w:p>
      <w:pPr>
        <w:pStyle w:val="P20"/>
        <w:shd w:val="clear" w:fill="FFFFFF"/>
        <w:spacing w:lineRule="auto" w:line="276" w:before="0" w:after="0" w:beforeAutospacing="0" w:afterAutospacing="0"/>
        <w:ind w:left="360"/>
        <w:jc w:val="both"/>
      </w:pPr>
      <w:r>
        <w:t>На третьому етапі було проведено обробку результатів обстеження. Узгодженість думок експертів було оцінено з використанням коефіцієнта конкордації Кендела:</w:t>
      </w:r>
    </w:p>
    <w:p>
      <w:pPr>
        <w:spacing w:lineRule="auto" w:line="240" w:beforeAutospacing="0" w:afterAutospacing="0"/>
        <w:ind w:left="360"/>
        <w:jc w:val="right"/>
        <w:rPr>
          <w:rFonts w:ascii="Times New Roman" w:hAnsi="Times New Roman"/>
          <w:sz w:val="24"/>
        </w:rPr>
      </w:pPr>
      <w:r>
        <w:drawing>
          <wp:inline xmlns:wp="http://schemas.openxmlformats.org/drawingml/2006/wordprocessingDrawing">
            <wp:extent cx="122555" cy="41846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122555" cy="418465"/>
                    </a:xfrm>
                    <a:prstGeom prst="rect"/>
                    <a:solidFill>
                      <a:srgbClr val="FFFFFF"/>
                    </a:solidFill>
                  </pic:spPr>
                </pic:pic>
              </a:graphicData>
            </a:graphic>
          </wp:inline>
        </w:drawing>
      </w:r>
      <w:r>
        <w:drawing>
          <wp:inline xmlns:wp="http://schemas.openxmlformats.org/drawingml/2006/wordprocessingDrawing">
            <wp:extent cx="1290320" cy="45275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1290320" cy="452755"/>
                    </a:xfrm>
                    <a:prstGeom prst="rect"/>
                    <a:solidFill>
                      <a:srgbClr val="FFFFFF"/>
                    </a:solidFill>
                  </pic:spPr>
                </pic:pic>
              </a:graphicData>
            </a:graphic>
          </wp:inline>
        </w:drawing>
      </w:r>
      <w:r>
        <w:rPr>
          <w:rFonts w:ascii="Times New Roman" w:hAnsi="Times New Roman"/>
          <w:i w:val="1"/>
          <w:sz w:val="24"/>
        </w:rPr>
        <w:t>,</w:t>
      </w:r>
      <w:r>
        <w:rPr>
          <w:rFonts w:ascii="Times New Roman" w:hAnsi="Times New Roman"/>
          <w:sz w:val="24"/>
        </w:rPr>
        <w:t xml:space="preserve"> </w:t>
        <w:tab/>
        <w:tab/>
      </w:r>
      <w:r>
        <w:rPr>
          <w:rFonts w:ascii="Times New Roman" w:hAnsi="Times New Roman"/>
          <w:sz w:val="24"/>
        </w:rPr>
        <w:tab/>
        <w:tab/>
        <w:tab/>
      </w:r>
      <w:r>
        <w:rPr>
          <w:rFonts w:ascii="Times New Roman" w:hAnsi="Times New Roman"/>
          <w:sz w:val="24"/>
        </w:rPr>
        <w:t>(1)</w:t>
      </w:r>
    </w:p>
    <w:p>
      <w:pPr>
        <w:pStyle w:val="P21"/>
        <w:tabs>
          <w:tab w:val="left" w:pos="2460" w:leader="none"/>
        </w:tabs>
        <w:ind w:left="360"/>
        <w:jc w:val="both"/>
      </w:pPr>
      <w:r>
        <w:t xml:space="preserve">де  </w:t>
      </w:r>
      <w:r>
        <w:rPr>
          <w:i w:val="1"/>
        </w:rPr>
        <w:t>W</w:t>
      </w:r>
      <w:r>
        <w:t xml:space="preserve"> – коефіцієнт конкордації Кендела;</w:t>
      </w:r>
    </w:p>
    <w:p>
      <w:pPr>
        <w:pStyle w:val="P21"/>
        <w:tabs>
          <w:tab w:val="left" w:pos="2460" w:leader="none"/>
        </w:tabs>
        <w:ind w:left="360"/>
        <w:jc w:val="both"/>
      </w:pPr>
      <w:r>
        <w:rPr>
          <w:i w:val="1"/>
        </w:rPr>
        <w:t xml:space="preserve">m </w:t>
      </w:r>
      <w:r>
        <w:rPr>
          <w:b w:val="1"/>
        </w:rPr>
        <w:t>–</w:t>
      </w:r>
      <w:r>
        <w:t xml:space="preserve"> кількість експертів;</w:t>
      </w:r>
    </w:p>
    <w:p>
      <w:pPr>
        <w:pStyle w:val="P21"/>
        <w:ind w:left="360"/>
        <w:jc w:val="both"/>
      </w:pPr>
      <w:r>
        <w:rPr>
          <w:i w:val="1"/>
        </w:rPr>
        <w:t>n</w:t>
      </w:r>
      <w:r>
        <w:t xml:space="preserve"> – кількість факторів;</w:t>
      </w:r>
    </w:p>
    <w:p>
      <w:pPr>
        <w:pStyle w:val="P21"/>
        <w:ind w:left="360"/>
        <w:jc w:val="both"/>
      </w:pPr>
      <w:r>
        <w:rPr>
          <w:i w:val="1"/>
        </w:rPr>
        <w:t>S</w:t>
      </w:r>
      <w:r>
        <w:t xml:space="preserve"> – сума квадратів відхилення, що визначається таким чином:</w:t>
      </w:r>
    </w:p>
    <w:p>
      <w:pPr>
        <w:pStyle w:val="P21"/>
        <w:tabs>
          <w:tab w:val="left" w:pos="3555" w:leader="none"/>
          <w:tab w:val="left" w:pos="5580" w:leader="none"/>
        </w:tabs>
        <w:ind w:left="360"/>
        <w:jc w:val="right"/>
      </w:pPr>
      <w:r>
        <w:drawing>
          <wp:inline xmlns:wp="http://schemas.openxmlformats.org/drawingml/2006/wordprocessingDrawing">
            <wp:extent cx="1304925" cy="434975"/>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1304925" cy="434975"/>
                    </a:xfrm>
                    <a:prstGeom prst="rect"/>
                    <a:solidFill>
                      <a:srgbClr val="FFFFFF"/>
                    </a:solidFill>
                  </pic:spPr>
                </pic:pic>
              </a:graphicData>
            </a:graphic>
          </wp:inline>
        </w:drawing>
      </w:r>
      <w:r>
        <w:t>,</w:t>
        <w:tab/>
      </w:r>
      <w:r>
        <w:tab/>
      </w:r>
      <w:r>
        <w:t xml:space="preserve">   </w:t>
      </w:r>
      <w:r>
        <w:t>(2)</w:t>
      </w:r>
    </w:p>
    <w:p>
      <w:pPr>
        <w:pStyle w:val="P21"/>
        <w:tabs>
          <w:tab w:val="left" w:pos="3555" w:leader="none"/>
        </w:tabs>
        <w:ind w:left="360"/>
        <w:jc w:val="both"/>
      </w:pPr>
      <w:r>
        <w:t xml:space="preserve">де </w:t>
      </w:r>
      <w:r>
        <w:drawing>
          <wp:inline xmlns:wp="http://schemas.openxmlformats.org/drawingml/2006/wordprocessingDrawing">
            <wp:extent cx="170815" cy="19939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170815" cy="199390"/>
                    </a:xfrm>
                    <a:prstGeom prst="rect"/>
                    <a:solidFill>
                      <a:srgbClr val="FFFFFF"/>
                    </a:solidFill>
                  </pic:spPr>
                </pic:pic>
              </a:graphicData>
            </a:graphic>
          </wp:inline>
        </w:drawing>
      </w:r>
      <w:r>
        <w:rPr>
          <w:i w:val="1"/>
          <w:vertAlign w:val="subscript"/>
        </w:rPr>
        <w:t xml:space="preserve"> </w:t>
      </w:r>
      <w:r>
        <w:t xml:space="preserve">– сума рангів по </w:t>
      </w:r>
      <w:r>
        <w:rPr>
          <w:i w:val="1"/>
        </w:rPr>
        <w:t>j</w:t>
      </w:r>
      <w:r>
        <w:t xml:space="preserve"> – му фактору;</w:t>
      </w:r>
    </w:p>
    <w:p>
      <w:pPr>
        <w:pStyle w:val="P21"/>
        <w:tabs>
          <w:tab w:val="left" w:pos="3555" w:leader="none"/>
        </w:tabs>
        <w:ind w:left="360"/>
        <w:jc w:val="both"/>
      </w:pPr>
      <w:r>
        <w:rPr>
          <w:i w:val="1"/>
        </w:rPr>
        <w:t>Х</w:t>
      </w:r>
      <w:r>
        <w:rPr>
          <w:i w:val="1"/>
          <w:vertAlign w:val="subscript"/>
        </w:rPr>
        <w:t>cp</w:t>
      </w:r>
      <w:r>
        <w:t xml:space="preserve"> – середня сума рангів, що визначається таким чином:</w:t>
      </w:r>
    </w:p>
    <w:p>
      <w:pPr>
        <w:pStyle w:val="P21"/>
        <w:tabs>
          <w:tab w:val="left" w:pos="2835" w:leader="none"/>
          <w:tab w:val="right" w:pos="9355" w:leader="none"/>
        </w:tabs>
        <w:ind w:left="360"/>
        <w:jc w:val="right"/>
      </w:pPr>
      <w:r>
        <w:drawing>
          <wp:inline xmlns:wp="http://schemas.openxmlformats.org/drawingml/2006/wordprocessingDrawing">
            <wp:extent cx="847090" cy="65786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847090" cy="657860"/>
                    </a:xfrm>
                    <a:prstGeom prst="rect"/>
                    <a:solidFill>
                      <a:srgbClr val="FFFFFF"/>
                    </a:solidFill>
                  </pic:spPr>
                </pic:pic>
              </a:graphicData>
            </a:graphic>
          </wp:inline>
        </w:drawing>
      </w:r>
      <w:r>
        <w:t>.</w:t>
        <w:tab/>
      </w:r>
      <w:r>
        <w:t xml:space="preserve">                                                     </w:t>
      </w:r>
      <w:r>
        <w:t>(3)</w:t>
      </w:r>
    </w:p>
    <w:p>
      <w:pPr>
        <w:spacing w:lineRule="auto" w:line="240" w:beforeAutospacing="0" w:afterAutospacing="0"/>
        <w:ind w:left="360"/>
        <w:jc w:val="both"/>
        <w:rPr>
          <w:rFonts w:ascii="Times New Roman" w:hAnsi="Times New Roman"/>
          <w:sz w:val="24"/>
        </w:rPr>
      </w:pPr>
      <w:r>
        <w:rPr>
          <w:rFonts w:ascii="Times New Roman" w:hAnsi="Times New Roman"/>
          <w:sz w:val="24"/>
        </w:rPr>
        <w:t>Значення коефіцієнта конкордації дорівнює 0,61. Це свідчить про узгодженість думок експертів.</w:t>
      </w:r>
    </w:p>
    <w:p>
      <w:pPr>
        <w:spacing w:lineRule="auto" w:line="240" w:beforeAutospacing="0" w:afterAutospacing="0"/>
        <w:ind w:left="360"/>
        <w:jc w:val="both"/>
        <w:rPr>
          <w:rFonts w:ascii="Times New Roman" w:hAnsi="Times New Roman"/>
          <w:sz w:val="24"/>
        </w:rPr>
      </w:pPr>
      <w:r>
        <w:rPr>
          <w:rFonts w:ascii="Times New Roman" w:hAnsi="Times New Roman"/>
          <w:sz w:val="24"/>
        </w:rPr>
        <w:t>Перевірка статистичної ваги коефіцієнта конкордації проводилась шляхом визначення емпіричного значення критерію Пірсона за такою залежністю:</w:t>
      </w:r>
    </w:p>
    <w:p>
      <w:pPr>
        <w:pStyle w:val="P21"/>
        <w:tabs>
          <w:tab w:val="left" w:pos="3119" w:leader="none"/>
          <w:tab w:val="right" w:pos="9355" w:leader="none"/>
        </w:tabs>
        <w:ind w:left="360"/>
        <w:jc w:val="right"/>
      </w:pPr>
      <w:bookmarkStart w:id="0" w:name="_GoBack"/>
      <w:r>
        <w:drawing>
          <wp:inline xmlns:wp="http://schemas.openxmlformats.org/drawingml/2006/wordprocessingDrawing">
            <wp:extent cx="1059815" cy="36195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1059815" cy="361950"/>
                    </a:xfrm>
                    <a:prstGeom prst="rect"/>
                    <a:solidFill>
                      <a:srgbClr val="FFFFFF"/>
                    </a:solidFill>
                  </pic:spPr>
                </pic:pic>
              </a:graphicData>
            </a:graphic>
          </wp:inline>
        </w:drawing>
      </w:r>
      <w:bookmarkEnd w:id="0"/>
      <w:r>
        <w:t>.</w:t>
        <w:tab/>
      </w:r>
      <w:r>
        <w:t xml:space="preserve">                                                 </w:t>
      </w:r>
      <w:r>
        <w:t>(4)</w:t>
      </w:r>
    </w:p>
    <w:p>
      <w:pPr>
        <w:spacing w:lineRule="auto" w:line="240" w:beforeAutospacing="0" w:afterAutospacing="0"/>
        <w:ind w:left="360"/>
        <w:jc w:val="both"/>
        <w:rPr>
          <w:rFonts w:ascii="Times New Roman" w:hAnsi="Times New Roman"/>
          <w:sz w:val="24"/>
        </w:rPr>
      </w:pPr>
      <w:r>
        <mc:AlternateContent>
          <mc:Choice Requires="wps">
            <w:drawing>
              <wp:anchor xmlns:wp="http://schemas.openxmlformats.org/drawingml/2006/wordprocessingDrawing" simplePos="0" allowOverlap="1" behindDoc="0" layoutInCell="0" locked="0" relativeHeight="2" distL="114300" distR="114300">
                <wp:simplePos x="0" y="0"/>
                <wp:positionH relativeFrom="column">
                  <wp:posOffset>628650</wp:posOffset>
                </wp:positionH>
                <wp:positionV relativeFrom="paragraph">
                  <wp:posOffset>466725</wp:posOffset>
                </wp:positionV>
                <wp:extent cx="4371975" cy="704850"/>
                <wp:wrapNone/>
                <wp:docPr id="7" name="Rectangle 3"/>
                <a:graphic xmlns:a="http://schemas.openxmlformats.org/drawingml/2006/main">
                  <a:graphicData uri="http://schemas.microsoft.com/office/word/2010/wordprocessingShape">
                    <wps:wsp>
                      <wps:cNvSpPr/>
                      <wps:spPr>
                        <a:xfrm>
                          <a:off x="0" y="0"/>
                          <a:ext cx="4371975" cy="704850"/>
                        </a:xfrm>
                        <a:prstGeom prst="rect"/>
                        <a:noFill/>
                        <a:ln>
                          <a:noFill/>
                        </a:ln>
                      </wps:spPr>
                      <wps:txbx>
                        <w:txbxContent>
                          <w:p>
                            <w:pPr>
                              <w:pStyle w:val="P20"/>
                              <w:spacing w:before="0" w:after="0" w:beforeAutospacing="0" w:afterAutospacing="0"/>
                              <w:ind w:firstLine="432"/>
                              <w:rPr>
                                <w:color w:val="000000"/>
                              </w:rPr>
                            </w:pPr>
                            <w:r>
                              <w:rPr>
                                <w:color w:val="000000"/>
                              </w:rPr>
                              <w:t xml:space="preserve">Таблиця 1 </w:t>
                            </w:r>
                            <w:r>
                              <w:rPr>
                                <w:rFonts w:ascii="Calibri" w:hAnsi="Calibri"/>
                                <w:color w:val="000000"/>
                              </w:rPr>
                              <w:t>–</w:t>
                            </w:r>
                            <w:r>
                              <w:rPr>
                                <w:color w:val="000000"/>
                              </w:rPr>
                              <w:t xml:space="preserve"> Значення рангів характеристик якості</w:t>
                            </w:r>
                          </w:p>
                          <w:p>
                            <w:pPr>
                              <w:pStyle w:val="P20"/>
                              <w:spacing w:before="0" w:after="0" w:beforeAutospacing="0" w:afterAutospacing="0"/>
                              <w:ind w:firstLine="432"/>
                              <w:rPr>
                                <w:sz w:val="20"/>
                              </w:rPr>
                            </w:pPr>
                          </w:p>
                        </w:txbxContent>
                      </wps:txbx>
                      <wps:bodyPr wrap="none" lIns="91440" tIns="45720" rIns="91440" bIns="45720" anchor="ctr">
                        <a:noAutofit/>
                      </wps:bodyPr>
                    </wps:wsp>
                  </a:graphicData>
                </a:graphic>
              </wp:anchor>
            </w:drawing>
          </mc:Choice>
          <mc:Fallback>
            <w:pict>
              <v:shapetype id="8" path="m,l,21600r21600,l21600,xe"/>
              <v:shape xmlns:o="urn:schemas-microsoft-com:office:office" type="#8" id="Rectangle 3" style="position:absolute;width:344,25pt;height:55,5pt;z-index:2;mso-wrap-distance-left:9pt;mso-wrap-distance-top:0pt;mso-wrap-distance-right:9pt;mso-wrap-distance-bottom:0pt;margin-left:49,5pt;margin-top:36,75pt;mso-position-horizontal:absolute;mso-position-horizontal-relative:text;mso-position-vertical:absolute;mso-position-vertical-relative:text;mso-wrap-style:none;v-text-anchor:middle" fillcolor="#auto" strokecolor="#auto" stroked="f" o:allowincell="f" o:allowoverlap="t">
                <v:textbox style="mso-fit-shape-to-text:f" inset="3mm,1mm,3mm,1mm">
                  <w:txbxContent>
                    <w:p>
                      <w:pPr>
                        <w:pStyle w:val="P20"/>
                        <w:spacing w:before="0" w:after="0" w:beforeAutospacing="0" w:afterAutospacing="0"/>
                        <w:ind w:firstLine="432"/>
                        <w:rPr>
                          <w:color w:val="000000"/>
                        </w:rPr>
                      </w:pPr>
                      <w:r>
                        <w:rPr>
                          <w:color w:val="000000"/>
                        </w:rPr>
                        <w:t xml:space="preserve">Таблиця 1 </w:t>
                      </w:r>
                      <w:r>
                        <w:rPr>
                          <w:rFonts w:ascii="Calibri" w:hAnsi="Calibri"/>
                          <w:color w:val="000000"/>
                        </w:rPr>
                        <w:t>–</w:t>
                      </w:r>
                      <w:r>
                        <w:rPr>
                          <w:color w:val="000000"/>
                        </w:rPr>
                        <w:t xml:space="preserve"> Значення рангів характеристик якості</w:t>
                      </w:r>
                    </w:p>
                    <w:p>
                      <w:pPr>
                        <w:pStyle w:val="P20"/>
                        <w:spacing w:before="0" w:after="0" w:beforeAutospacing="0" w:afterAutospacing="0"/>
                        <w:ind w:firstLine="432"/>
                        <w:rPr>
                          <w:sz w:val="20"/>
                        </w:rPr>
                      </w:pPr>
                    </w:p>
                  </w:txbxContent>
                </v:textbox>
              </v:shape>
            </w:pict>
          </mc:Fallback>
        </mc:AlternateContent>
      </w:r>
      <w:r>
        <w:rPr>
          <w:rFonts w:ascii="Times New Roman" w:hAnsi="Times New Roman"/>
          <w:sz w:val="24"/>
        </w:rPr>
        <w:t>Після аналізу опитування експертів була побудована діаграма рангів (рис. 1) та отримані результати наведено у табл. 1</w:t>
      </w:r>
    </w:p>
    <w:p>
      <w:pPr>
        <w:spacing w:lineRule="auto" w:line="240" w:beforeAutospacing="0" w:afterAutospacing="0"/>
        <w:ind w:left="360"/>
        <w:jc w:val="both"/>
        <w:rPr>
          <w:rFonts w:ascii="Times New Roman" w:hAnsi="Times New Roman"/>
          <w:sz w:val="24"/>
        </w:rPr>
      </w:pPr>
    </w:p>
    <w:p>
      <w:pPr>
        <w:spacing w:lineRule="auto" w:line="240" w:beforeAutospacing="0" w:afterAutospacing="0"/>
        <w:ind w:left="360"/>
        <w:jc w:val="both"/>
        <w:rPr>
          <w:rFonts w:ascii="Times New Roman" w:hAnsi="Times New Roman"/>
          <w:sz w:val="24"/>
        </w:rPr>
      </w:pPr>
      <w:r>
        <w:rPr>
          <w:rFonts w:ascii="Times New Roman" w:hAnsi="Times New Roman"/>
          <w:sz w:val="24"/>
        </w:rPr>
        <w:t xml:space="preserve">На підставі її аналізу було визначено значущість факторів. Для визначення статистичної ваги коефіцієнта конкордації розрахункове значення критерію </w:t>
      </w:r>
      <w:r>
        <w:drawing>
          <wp:inline xmlns:wp="http://schemas.openxmlformats.org/drawingml/2006/wordprocessingDrawing">
            <wp:extent cx="208915" cy="237490"/>
            <wp:docPr id="9" name="Picture 9"/>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7"/>
                    <a:stretch>
                      <a:fillRect/>
                    </a:stretch>
                  </pic:blipFill>
                  <pic:spPr>
                    <a:xfrm>
                      <a:off x="0" y="0"/>
                      <a:ext cx="208915" cy="237490"/>
                    </a:xfrm>
                    <a:prstGeom prst="rect"/>
                    <a:solidFill>
                      <a:srgbClr val="FFFFFF"/>
                    </a:solidFill>
                  </pic:spPr>
                </pic:pic>
              </a:graphicData>
            </a:graphic>
          </wp:inline>
        </w:drawing>
      </w:r>
      <w:r>
        <w:rPr>
          <w:rFonts w:ascii="Times New Roman" w:hAnsi="Times New Roman"/>
          <w:sz w:val="24"/>
        </w:rPr>
        <w:t>= 524,35 порівнювалось з табличним.</w:t>
      </w:r>
    </w:p>
    <w:p>
      <w:pPr>
        <w:spacing w:lineRule="auto" w:line="240" w:beforeAutospacing="0" w:afterAutospacing="0"/>
        <w:ind w:left="360"/>
        <w:jc w:val="both"/>
        <w:rPr>
          <w:rFonts w:ascii="Times New Roman" w:hAnsi="Times New Roman"/>
          <w:sz w:val="24"/>
        </w:rPr>
      </w:pPr>
      <w:r>
        <w:rPr>
          <w:rFonts w:ascii="Times New Roman" w:hAnsi="Times New Roman"/>
          <w:sz w:val="24"/>
        </w:rPr>
        <w:t xml:space="preserve">При узгодженні думок експертів розрахункове значення більше табличного (21,0) для рівня значимості 0,5 і числа ступенів свободи </w:t>
      </w:r>
      <w:r>
        <w:drawing>
          <wp:inline xmlns:wp="http://schemas.openxmlformats.org/drawingml/2006/wordprocessingDrawing">
            <wp:extent cx="170815" cy="141605"/>
            <wp:docPr id="10" name="Picture 10"/>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8"/>
                    <a:stretch>
                      <a:fillRect/>
                    </a:stretch>
                  </pic:blipFill>
                  <pic:spPr>
                    <a:xfrm>
                      <a:off x="0" y="0"/>
                      <a:ext cx="170815" cy="141605"/>
                    </a:xfrm>
                    <a:prstGeom prst="rect"/>
                    <a:solidFill>
                      <a:srgbClr val="FFFFFF"/>
                    </a:solidFill>
                  </pic:spPr>
                </pic:pic>
              </a:graphicData>
            </a:graphic>
          </wp:inline>
        </w:drawing>
      </w:r>
      <w:r>
        <w:rPr>
          <w:rFonts w:ascii="Times New Roman" w:hAnsi="Times New Roman"/>
          <w:sz w:val="24"/>
        </w:rPr>
        <w:t>=40.</w:t>
      </w:r>
    </w:p>
    <w:p>
      <w:pPr>
        <w:spacing w:lineRule="auto" w:line="240" w:beforeAutospacing="0" w:afterAutospacing="0"/>
        <w:ind w:left="360"/>
        <w:jc w:val="center"/>
        <w:rPr>
          <w:rFonts w:ascii="Times New Roman" w:hAnsi="Times New Roman"/>
          <w:sz w:val="24"/>
        </w:rPr>
      </w:pPr>
      <w:r>
        <mc:AlternateContent>
          <mc:Choice Requires="wps">
            <w:drawing>
              <wp:anchor xmlns:wp="http://schemas.openxmlformats.org/drawingml/2006/wordprocessingDrawing" simplePos="0" allowOverlap="1" behindDoc="0" layoutInCell="1" locked="0" relativeHeight="3" distL="114300" distR="114300">
                <wp:simplePos x="0" y="0"/>
                <wp:positionH relativeFrom="column">
                  <wp:posOffset>-22860</wp:posOffset>
                </wp:positionH>
                <wp:positionV relativeFrom="paragraph">
                  <wp:posOffset>4326890</wp:posOffset>
                </wp:positionV>
                <wp:extent cx="4667250" cy="450850"/>
                <wp:wrapNone/>
                <wp:docPr id="11" name="Rectangle 6"/>
                <a:graphic xmlns:a="http://schemas.openxmlformats.org/drawingml/2006/main">
                  <a:graphicData uri="http://schemas.microsoft.com/office/word/2010/wordprocessingShape">
                    <wps:wsp>
                      <wps:cNvSpPr/>
                      <wps:spPr>
                        <a:xfrm>
                          <a:off x="0" y="0"/>
                          <a:ext cx="4667250" cy="450850"/>
                        </a:xfrm>
                        <a:prstGeom prst="rect"/>
                        <a:noFill/>
                        <a:ln>
                          <a:noFill/>
                        </a:ln>
                      </wps:spPr>
                      <wps:txbx>
                        <w:txbxContent>
                          <w:p>
                            <w:pPr>
                              <w:pStyle w:val="P20"/>
                              <w:spacing w:before="0" w:after="0" w:beforeAutospacing="0" w:afterAutospacing="0"/>
                              <w:ind w:firstLine="432"/>
                              <w:rPr>
                                <w:color w:val="000000"/>
                              </w:rPr>
                            </w:pPr>
                          </w:p>
                          <w:p>
                            <w:pPr>
                              <w:pStyle w:val="P20"/>
                              <w:spacing w:before="0" w:after="0" w:beforeAutospacing="0" w:afterAutospacing="0"/>
                              <w:ind w:firstLine="432"/>
                              <w:rPr>
                                <w:sz w:val="22"/>
                              </w:rPr>
                            </w:pPr>
                            <w:r>
                              <w:rPr>
                                <w:color w:val="000000"/>
                              </w:rPr>
                              <w:t>Рисунок 1 - Діаграма значущості характеристик якості</w:t>
                            </w:r>
                          </w:p>
                        </w:txbxContent>
                      </wps:txbx>
                      <wps:bodyPr wrap="square" lIns="91440" tIns="45720" rIns="91440" bIns="45720" anchor="ctr">
                        <a:spAutoFit/>
                      </wps:bodyPr>
                    </wps:wsp>
                  </a:graphicData>
                </a:graphic>
              </wp:anchor>
            </w:drawing>
          </mc:Choice>
          <mc:Fallback>
            <w:pict>
              <v:shapetype id="12" path="m,l,21600r21600,l21600,xe"/>
              <v:shape xmlns:o="urn:schemas-microsoft-com:office:office" type="#12" id="Rectangle 6" style="position:absolute;width:367,5pt;height:35,5pt;z-index:3;mso-wrap-distance-left:9pt;mso-wrap-distance-top:0pt;mso-wrap-distance-right:9pt;mso-wrap-distance-bottom:0pt;margin-left:-1,8pt;margin-top:340,7pt;mso-position-horizontal:absolute;mso-position-horizontal-relative:text;mso-position-vertical:absolute;mso-position-vertical-relative:text;mso-wrap-style:square;v-text-anchor:middle" fillcolor="#auto" strokecolor="#auto" stroked="f" o:allowincell="t" o:allowoverlap="t">
                <v:textbox style="mso-fit-shape-to-text:t" inset="3mm,1mm,3mm,1mm">
                  <w:txbxContent>
                    <w:p>
                      <w:pPr>
                        <w:pStyle w:val="P20"/>
                        <w:spacing w:before="0" w:after="0" w:beforeAutospacing="0" w:afterAutospacing="0"/>
                        <w:ind w:firstLine="432"/>
                        <w:rPr>
                          <w:color w:val="000000"/>
                        </w:rPr>
                      </w:pPr>
                    </w:p>
                    <w:p>
                      <w:pPr>
                        <w:pStyle w:val="P20"/>
                        <w:spacing w:before="0" w:after="0" w:beforeAutospacing="0" w:afterAutospacing="0"/>
                        <w:ind w:firstLine="432"/>
                        <w:rPr>
                          <w:sz w:val="22"/>
                        </w:rPr>
                      </w:pPr>
                      <w:r>
                        <w:rPr>
                          <w:color w:val="000000"/>
                        </w:rPr>
                        <w:t>Рисунок 1 - Діаграма значущості характеристик якості</w:t>
                      </w:r>
                    </w:p>
                  </w:txbxContent>
                </v:textbox>
              </v:shape>
            </w:pict>
          </mc:Fallback>
        </mc:AlternateContent>
      </w:r>
      <w:r>
        <w:rPr>
          <w:rFonts w:ascii="Times New Roman" w:hAnsi="Times New Roman"/>
          <w:sz w:val="24"/>
        </w:rPr>
        <w:t>Внаслідок цього було зроблено висновок, що отриманий коефіцієнт конкордації є значущим і думка експертів не є випадковою</w:t>
      </w:r>
      <w:r>
        <w:rPr>
          <w:rFonts w:ascii="Times New Roman" w:hAnsi="Times New Roman"/>
          <w:sz w:val="24"/>
        </w:rPr>
        <w:t>.</w:t>
      </w:r>
    </w:p>
    <w:p>
      <w:pPr>
        <w:spacing w:lineRule="auto" w:line="240" w:beforeAutospacing="0" w:afterAutospacing="0"/>
        <w:ind w:left="360"/>
        <w:jc w:val="both"/>
        <w:rPr>
          <w:rFonts w:ascii="Times New Roman" w:hAnsi="Times New Roman"/>
          <w:sz w:val="24"/>
        </w:rPr>
      </w:pPr>
      <w:r>
        <mc:AlternateContent>
          <mc:Choice Requires="wps">
            <w:drawing>
              <wp:anchor xmlns:wp="http://schemas.openxmlformats.org/drawingml/2006/wordprocessingDrawing" simplePos="0" allowOverlap="1" behindDoc="0" layoutInCell="0" locked="0" relativeHeight="4" distL="114300" distR="114300">
                <wp:simplePos x="0" y="0"/>
                <wp:positionH relativeFrom="column">
                  <wp:posOffset>-333375</wp:posOffset>
                </wp:positionH>
                <wp:positionV relativeFrom="paragraph">
                  <wp:posOffset>-3648075</wp:posOffset>
                </wp:positionV>
                <wp:extent cx="1285875" cy="666750"/>
                <wp:effectExtent l="0" t="309562" r="0" b="309562"/>
                <wp:wrapNone/>
                <wp:docPr id="13" name="TextBox 9"/>
                <a:graphic xmlns:a="http://schemas.openxmlformats.org/drawingml/2006/main">
                  <a:graphicData uri="http://schemas.microsoft.com/office/word/2010/wordprocessingShape">
                    <wps:wsp>
                      <wps:cNvSpPr/>
                      <wps:spPr>
                        <a:xfrm rot="16200000">
                          <a:off x="0" y="0"/>
                          <a:ext cx="1285875" cy="666750"/>
                        </a:xfrm>
                        <a:prstGeom prst="rect"/>
                        <a:noFill/>
                      </wps:spPr>
                      <wps:txbx>
                        <w:txbxContent>
                          <w:p>
                            <w:pPr>
                              <w:pStyle w:val="P20"/>
                              <w:spacing w:before="0" w:after="0" w:beforeAutospacing="0" w:afterAutospacing="0"/>
                            </w:pPr>
                            <w:r>
                              <w:rPr>
                                <w:rFonts w:ascii="Calibri" w:hAnsi="Calibri"/>
                                <w:color w:val="000000"/>
                              </w:rPr>
                              <w:t xml:space="preserve"> </w:t>
                            </w:r>
                            <w:r>
                              <w:rPr>
                                <w:rFonts w:ascii="Calibri" w:hAnsi="Calibri"/>
                                <w:color w:val="000000"/>
                              </w:rPr>
                              <w:t>Сума рангів</w:t>
                            </w:r>
                          </w:p>
                        </w:txbxContent>
                      </wps:txbx>
                      <wps:bodyPr wrap="square">
                        <a:noAutofit/>
                      </wps:bodyPr>
                    </wps:wsp>
                  </a:graphicData>
                </a:graphic>
              </wp:anchor>
            </w:drawing>
          </mc:Choice>
          <mc:Fallback>
            <w:pict>
              <v:shapetype id="14" path="m,l,21600r21600,l21600,xe"/>
              <v:shape xmlns:o="urn:schemas-microsoft-com:office:office" type="#14" id="TextBox 9" style="position:absolute;width:101,25pt;height:52,5pt;z-index:4;mso-wrap-distance-left:9pt;mso-wrap-distance-top:0pt;mso-wrap-distance-right:9pt;mso-wrap-distance-bottom:0pt;margin-left:-26,25pt;margin-top:-287,25pt;mso-position-horizontal:absolute;mso-position-horizontal-relative:text;mso-position-vertical:absolute;mso-position-vertical-relative:text;mso-wrap-style:square;rotation:270" fillcolor="#auto" stroked="f" o:allowincell="f" o:allowoverlap="t">
                <v:textbox style="mso-fit-shape-to-text:f">
                  <w:txbxContent>
                    <w:p>
                      <w:pPr>
                        <w:pStyle w:val="P20"/>
                        <w:spacing w:before="0" w:after="0" w:beforeAutospacing="0" w:afterAutospacing="0"/>
                      </w:pPr>
                      <w:r>
                        <w:rPr>
                          <w:rFonts w:ascii="Calibri" w:hAnsi="Calibri"/>
                          <w:color w:val="000000"/>
                        </w:rPr>
                        <w:t xml:space="preserve"> </w:t>
                      </w:r>
                      <w:r>
                        <w:rPr>
                          <w:rFonts w:ascii="Calibri" w:hAnsi="Calibri"/>
                          <w:color w:val="000000"/>
                        </w:rPr>
                        <w:t>Сума рангів</w:t>
                      </w:r>
                    </w:p>
                  </w:txbxContent>
                </v:textbox>
              </v:shape>
            </w:pict>
          </mc:Fallback>
        </mc:AlternateContent>
      </w:r>
      <w:r>
        <w:drawing>
          <wp:anchor xmlns:wp="http://schemas.openxmlformats.org/drawingml/2006/wordprocessingDrawing" simplePos="0" allowOverlap="1" behindDoc="0" layoutInCell="0" locked="0" relativeHeight="1" distL="114300" distR="114300">
            <wp:simplePos x="0" y="0"/>
            <wp:positionH relativeFrom="column">
              <wp:posOffset>1581150</wp:posOffset>
            </wp:positionH>
            <wp:positionV relativeFrom="paragraph">
              <wp:posOffset>161925</wp:posOffset>
            </wp:positionV>
            <wp:extent cx="2587625" cy="3739515"/>
            <wp:wrapTopAndBottom/>
            <wp:docPr id="15"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elimage9"/>
                    <a:stretch>
                      <a:fillRect/>
                    </a:stretch>
                  </pic:blipFill>
                  <pic:spPr>
                    <a:xfrm>
                      <a:off x="0" y="0"/>
                      <a:ext cx="2587625" cy="3739515"/>
                    </a:xfrm>
                    <a:prstGeom prst="rect"/>
                  </pic:spPr>
                </pic:pic>
              </a:graphicData>
            </a:graphic>
          </wp:anchor>
        </w:drawing>
      </w:r>
    </w:p>
    <w:p>
      <w:pPr>
        <w:spacing w:lineRule="auto" w:line="240" w:beforeAutospacing="0" w:afterAutospacing="0"/>
        <w:ind w:left="360"/>
        <w:jc w:val="both"/>
        <w:rPr>
          <w:rFonts w:ascii="Times New Roman" w:hAnsi="Times New Roman"/>
          <w:sz w:val="24"/>
        </w:rPr>
      </w:pPr>
    </w:p>
    <w:p>
      <w:pPr>
        <w:spacing w:after="0" w:beforeAutospacing="0" w:afterAutospacing="0"/>
        <w:ind w:firstLine="360"/>
        <w:jc w:val="both"/>
        <w:rPr>
          <w:rFonts w:ascii="Times New Roman" w:hAnsi="Times New Roman"/>
          <w:sz w:val="24"/>
        </w:rPr>
      </w:pPr>
      <w:r>
        <w:rPr>
          <w:rFonts w:ascii="Times New Roman" w:hAnsi="Times New Roman"/>
          <w:sz w:val="24"/>
        </w:rPr>
        <w:t>Отже, для повного, своєчасного та якісного задоволення потреб населення в пересуваннях необхідно зосередити увагу на підвищення якості транспортного обслуговування. Серед пріоритетних напрямів підвищення якості на перші місця висуваються такі:</w:t>
      </w:r>
    </w:p>
    <w:p>
      <w:pPr>
        <w:jc w:val="both"/>
        <w:rPr>
          <w:rFonts w:ascii="Times New Roman" w:hAnsi="Times New Roman"/>
          <w:sz w:val="24"/>
        </w:rPr>
      </w:pPr>
      <w:r>
        <w:rPr>
          <w:rFonts w:ascii="Times New Roman" w:hAnsi="Times New Roman"/>
          <w:sz w:val="24"/>
        </w:rPr>
        <w:t>– використання нових одиниць рухомого складу підвищеної комфортабельності;</w:t>
      </w:r>
    </w:p>
    <w:p>
      <w:pPr>
        <w:jc w:val="both"/>
        <w:rPr>
          <w:rFonts w:ascii="Times New Roman" w:hAnsi="Times New Roman"/>
          <w:sz w:val="24"/>
        </w:rPr>
      </w:pPr>
      <w:r>
        <w:rPr>
          <w:rFonts w:ascii="Times New Roman" w:hAnsi="Times New Roman"/>
          <w:sz w:val="24"/>
        </w:rPr>
        <w:t>– дотримання вимог безпеки перевезень та безпеки руху;</w:t>
      </w:r>
    </w:p>
    <w:p>
      <w:pPr>
        <w:jc w:val="both"/>
        <w:rPr>
          <w:rFonts w:ascii="Times New Roman" w:hAnsi="Times New Roman"/>
          <w:sz w:val="24"/>
        </w:rPr>
      </w:pPr>
      <w:r>
        <w:rPr>
          <w:rFonts w:ascii="Times New Roman" w:hAnsi="Times New Roman"/>
          <w:sz w:val="24"/>
        </w:rPr>
        <w:t>– дотримання регулярності руху транспортних засобів, гарантована подача транспортних засобів користувачам;</w:t>
      </w:r>
    </w:p>
    <w:p>
      <w:pPr>
        <w:jc w:val="both"/>
        <w:rPr>
          <w:rFonts w:ascii="Times New Roman" w:hAnsi="Times New Roman"/>
          <w:sz w:val="24"/>
        </w:rPr>
      </w:pPr>
      <w:r>
        <w:rPr>
          <w:rFonts w:ascii="Times New Roman" w:hAnsi="Times New Roman"/>
          <w:sz w:val="24"/>
        </w:rPr>
        <w:t>– оптимізація міської дорожньо-транспортної мережі;</w:t>
      </w:r>
    </w:p>
    <w:p>
      <w:pPr>
        <w:jc w:val="both"/>
        <w:rPr>
          <w:rFonts w:ascii="Times New Roman" w:hAnsi="Times New Roman"/>
          <w:sz w:val="24"/>
        </w:rPr>
      </w:pPr>
      <w:r>
        <w:rPr>
          <w:rFonts w:ascii="Times New Roman" w:hAnsi="Times New Roman"/>
          <w:sz w:val="24"/>
        </w:rPr>
        <w:t>– забезпечення зручності місць зупинок транспортних засобів громадського транспорту;</w:t>
      </w:r>
    </w:p>
    <w:p>
      <w:pPr>
        <w:jc w:val="both"/>
        <w:rPr>
          <w:rFonts w:ascii="Times New Roman" w:hAnsi="Times New Roman"/>
          <w:sz w:val="24"/>
        </w:rPr>
      </w:pPr>
      <w:r>
        <w:rPr>
          <w:rFonts w:ascii="Times New Roman" w:hAnsi="Times New Roman"/>
          <w:sz w:val="24"/>
        </w:rPr>
        <w:t>– створення оптимізованого за параметрами часу доби та пори року розкладу руху пасажирського транспорту;</w:t>
      </w:r>
    </w:p>
    <w:p>
      <w:pPr>
        <w:jc w:val="both"/>
        <w:rPr>
          <w:rFonts w:ascii="Times New Roman" w:hAnsi="Times New Roman"/>
          <w:sz w:val="24"/>
        </w:rPr>
      </w:pPr>
      <w:r>
        <w:rPr>
          <w:rFonts w:ascii="Times New Roman" w:hAnsi="Times New Roman"/>
          <w:sz w:val="24"/>
        </w:rPr>
        <w:t>– обов’язковий інформаційний супровід пасажирів.</w:t>
      </w:r>
    </w:p>
    <w:p>
      <w:pPr>
        <w:jc w:val="both"/>
        <w:rPr>
          <w:rFonts w:ascii="Times New Roman" w:hAnsi="Times New Roman"/>
          <w:sz w:val="24"/>
        </w:rPr>
      </w:pPr>
      <w:r>
        <w:rPr>
          <w:rFonts w:ascii="Times New Roman" w:hAnsi="Times New Roman"/>
          <w:sz w:val="24"/>
        </w:rPr>
        <w:t xml:space="preserve"> Вирішення завдань, виділених у статті, є важливою складовою підвищення якості транспортного обслуговування мешканців наших міст</w:t>
      </w:r>
    </w:p>
    <w:p>
      <w:pPr>
        <w:widowControl w:val="0"/>
        <w:jc w:val="center"/>
        <w:rPr>
          <w:rFonts w:ascii="Times New Roman" w:hAnsi="Times New Roman"/>
          <w:b w:val="1"/>
          <w:sz w:val="24"/>
        </w:rPr>
      </w:pPr>
      <w:r>
        <w:rPr>
          <w:rFonts w:ascii="Times New Roman" w:hAnsi="Times New Roman"/>
          <w:b w:val="1"/>
          <w:sz w:val="24"/>
        </w:rPr>
        <w:t>Література</w:t>
      </w:r>
    </w:p>
    <w:p>
      <w:pPr>
        <w:widowControl w:val="0"/>
        <w:numPr>
          <w:ilvl w:val="0"/>
          <w:numId w:val="6"/>
        </w:numPr>
        <w:spacing w:lineRule="auto" w:line="240" w:after="0" w:beforeAutospacing="0" w:afterAutospacing="0"/>
        <w:ind w:firstLine="426" w:left="0"/>
        <w:jc w:val="both"/>
        <w:rPr>
          <w:rFonts w:ascii="Times New Roman" w:hAnsi="Times New Roman"/>
          <w:sz w:val="24"/>
        </w:rPr>
      </w:pPr>
      <w:r>
        <w:rPr>
          <w:rFonts w:ascii="Times New Roman" w:hAnsi="Times New Roman"/>
          <w:sz w:val="24"/>
        </w:rPr>
        <w:t>Волік В.</w:t>
      </w:r>
      <w:r>
        <w:rPr>
          <w:rFonts w:ascii="Times New Roman" w:hAnsi="Times New Roman"/>
          <w:sz w:val="24"/>
        </w:rPr>
        <w:t xml:space="preserve"> </w:t>
      </w:r>
      <w:r>
        <w:rPr>
          <w:rFonts w:ascii="Times New Roman" w:hAnsi="Times New Roman"/>
          <w:sz w:val="24"/>
        </w:rPr>
        <w:t>В. Формування та реалізація державної політики в галузі міського транспорту: адміністративноправові засади: монографія. - Дніпропетровськ: Середняк Т. К. – 2016. – 494 с</w:t>
      </w:r>
    </w:p>
    <w:p>
      <w:pPr>
        <w:widowControl w:val="0"/>
        <w:numPr>
          <w:ilvl w:val="0"/>
          <w:numId w:val="6"/>
        </w:numPr>
        <w:spacing w:lineRule="auto" w:line="240" w:after="0" w:beforeAutospacing="0" w:afterAutospacing="0"/>
        <w:ind w:firstLine="426" w:left="0"/>
        <w:jc w:val="both"/>
        <w:rPr>
          <w:rFonts w:ascii="Times New Roman" w:hAnsi="Times New Roman"/>
          <w:sz w:val="24"/>
        </w:rPr>
      </w:pPr>
      <w:r>
        <w:rPr>
          <w:rFonts w:ascii="Times New Roman" w:hAnsi="Times New Roman"/>
          <w:sz w:val="24"/>
        </w:rPr>
        <w:t>Вакуленко К. Є., Доля К. В. Управління міським пасажирським транспортом: навч. Посібник. – Харків: ХНУМГ ім. О. М. Бекетова, 2015. – 257 с.</w:t>
      </w:r>
    </w:p>
    <w:p>
      <w:pPr>
        <w:widowControl w:val="0"/>
        <w:numPr>
          <w:ilvl w:val="0"/>
          <w:numId w:val="6"/>
        </w:numPr>
        <w:spacing w:lineRule="auto" w:line="240" w:after="0" w:beforeAutospacing="0" w:afterAutospacing="0"/>
        <w:ind w:firstLine="426" w:left="0"/>
        <w:jc w:val="both"/>
        <w:rPr>
          <w:rFonts w:ascii="Times New Roman" w:hAnsi="Times New Roman"/>
          <w:sz w:val="24"/>
        </w:rPr>
      </w:pPr>
      <w:r>
        <w:rPr>
          <w:rFonts w:ascii="Times New Roman" w:hAnsi="Times New Roman"/>
          <w:sz w:val="24"/>
        </w:rPr>
        <w:t>Біліченко В.</w:t>
      </w:r>
      <w:r>
        <w:rPr>
          <w:rFonts w:ascii="Times New Roman" w:hAnsi="Times New Roman"/>
          <w:sz w:val="24"/>
        </w:rPr>
        <w:t xml:space="preserve"> </w:t>
      </w:r>
      <w:r>
        <w:rPr>
          <w:rFonts w:ascii="Times New Roman" w:hAnsi="Times New Roman"/>
          <w:sz w:val="24"/>
        </w:rPr>
        <w:t>В., Коробов С.</w:t>
      </w:r>
      <w:r>
        <w:rPr>
          <w:rFonts w:ascii="Times New Roman" w:hAnsi="Times New Roman"/>
          <w:sz w:val="24"/>
        </w:rPr>
        <w:t xml:space="preserve"> </w:t>
      </w:r>
      <w:r>
        <w:rPr>
          <w:rFonts w:ascii="Times New Roman" w:hAnsi="Times New Roman"/>
          <w:sz w:val="24"/>
        </w:rPr>
        <w:t>С., Лановий Р.</w:t>
      </w:r>
      <w:r>
        <w:rPr>
          <w:rFonts w:ascii="Times New Roman" w:hAnsi="Times New Roman"/>
          <w:sz w:val="24"/>
        </w:rPr>
        <w:t xml:space="preserve"> </w:t>
      </w:r>
      <w:r>
        <w:rPr>
          <w:rFonts w:ascii="Times New Roman" w:hAnsi="Times New Roman"/>
          <w:sz w:val="24"/>
        </w:rPr>
        <w:t>С, Свершок А.</w:t>
      </w:r>
      <w:r>
        <w:rPr>
          <w:rFonts w:ascii="Times New Roman" w:hAnsi="Times New Roman"/>
          <w:sz w:val="24"/>
        </w:rPr>
        <w:t xml:space="preserve"> </w:t>
      </w:r>
      <w:r>
        <w:rPr>
          <w:rFonts w:ascii="Times New Roman" w:hAnsi="Times New Roman"/>
          <w:sz w:val="24"/>
        </w:rPr>
        <w:t xml:space="preserve">В. Аналіз чинників, що визначають якість транспортного обслуговування пасажирів у містах. URL: </w:t>
      </w:r>
      <w:r>
        <w:rPr>
          <w:rFonts w:ascii="Times New Roman" w:hAnsi="Times New Roman"/>
          <w:sz w:val="24"/>
        </w:rPr>
        <w:fldChar w:fldCharType="begin"/>
      </w:r>
      <w:r>
        <w:rPr>
          <w:rFonts w:ascii="Times New Roman" w:hAnsi="Times New Roman"/>
          <w:sz w:val="24"/>
        </w:rPr>
        <w:instrText>HYPERLINK "http://ir.lib.vntu.edu.ua/handle/123456789/22407"</w:instrText>
      </w:r>
      <w:r>
        <w:rPr>
          <w:rFonts w:ascii="Times New Roman" w:hAnsi="Times New Roman"/>
          <w:sz w:val="24"/>
        </w:rPr>
        <w:fldChar w:fldCharType="separate"/>
      </w:r>
      <w:r>
        <w:rPr>
          <w:rStyle w:val="C2"/>
          <w:rFonts w:ascii="Times New Roman" w:hAnsi="Times New Roman"/>
          <w:sz w:val="24"/>
        </w:rPr>
        <w:t>http://ir.lib.vntu.edu.ua/handle/123456789/22407</w:t>
      </w:r>
      <w:r>
        <w:rPr>
          <w:rStyle w:val="C2"/>
          <w:rFonts w:ascii="Times New Roman" w:hAnsi="Times New Roman"/>
          <w:sz w:val="24"/>
        </w:rPr>
        <w:fldChar w:fldCharType="end"/>
      </w:r>
      <w:r>
        <w:rPr>
          <w:rFonts w:ascii="Times New Roman" w:hAnsi="Times New Roman"/>
          <w:sz w:val="24"/>
        </w:rPr>
        <w:t xml:space="preserve"> (дата звернення: 11.09.2021).</w:t>
      </w:r>
    </w:p>
    <w:p>
      <w:pPr>
        <w:widowControl w:val="0"/>
        <w:numPr>
          <w:ilvl w:val="0"/>
          <w:numId w:val="6"/>
        </w:numPr>
        <w:spacing w:lineRule="auto" w:line="240" w:after="0" w:beforeAutospacing="0" w:afterAutospacing="0"/>
        <w:ind w:firstLine="426" w:left="0"/>
        <w:jc w:val="both"/>
        <w:rPr>
          <w:rFonts w:ascii="Times New Roman" w:hAnsi="Times New Roman"/>
          <w:sz w:val="24"/>
        </w:rPr>
      </w:pPr>
      <w:r>
        <w:rPr>
          <w:rFonts w:ascii="Times New Roman" w:hAnsi="Times New Roman"/>
          <w:sz w:val="24"/>
        </w:rPr>
        <w:t>Боровик Н.</w:t>
      </w:r>
      <w:r>
        <w:rPr>
          <w:rFonts w:ascii="Times New Roman" w:hAnsi="Times New Roman"/>
          <w:sz w:val="24"/>
        </w:rPr>
        <w:t xml:space="preserve"> </w:t>
      </w:r>
      <w:r>
        <w:rPr>
          <w:rFonts w:ascii="Times New Roman" w:hAnsi="Times New Roman"/>
          <w:sz w:val="24"/>
        </w:rPr>
        <w:t>А., Сив’юк Т.</w:t>
      </w:r>
      <w:r>
        <w:rPr>
          <w:rFonts w:ascii="Times New Roman" w:hAnsi="Times New Roman"/>
          <w:sz w:val="24"/>
        </w:rPr>
        <w:t xml:space="preserve"> </w:t>
      </w:r>
      <w:r>
        <w:rPr>
          <w:rFonts w:ascii="Times New Roman" w:hAnsi="Times New Roman"/>
          <w:sz w:val="24"/>
        </w:rPr>
        <w:t xml:space="preserve">С. Оцінка якості та ефективності пасажирських перевезень у сучасних ринкових умовах. </w:t>
      </w:r>
      <w:r>
        <w:rPr>
          <w:rFonts w:ascii="Times New Roman" w:hAnsi="Times New Roman"/>
          <w:i w:val="1"/>
          <w:sz w:val="24"/>
        </w:rPr>
        <w:t>Управління проектами, системний аналіз і логістика. Технічна серія</w:t>
      </w:r>
      <w:r>
        <w:rPr>
          <w:rFonts w:ascii="Times New Roman" w:hAnsi="Times New Roman"/>
          <w:sz w:val="24"/>
        </w:rPr>
        <w:t>. – 2012. – Вип. 9. – С. 268–270.</w:t>
      </w:r>
    </w:p>
    <w:p>
      <w:pPr>
        <w:widowControl w:val="0"/>
        <w:numPr>
          <w:ilvl w:val="0"/>
          <w:numId w:val="6"/>
        </w:numPr>
        <w:spacing w:lineRule="auto" w:line="240" w:after="0" w:beforeAutospacing="0" w:afterAutospacing="0"/>
        <w:ind w:firstLine="426" w:left="0"/>
        <w:jc w:val="both"/>
        <w:rPr>
          <w:rFonts w:ascii="Times New Roman" w:hAnsi="Times New Roman"/>
          <w:sz w:val="24"/>
        </w:rPr>
      </w:pPr>
      <w:r>
        <w:rPr>
          <w:rFonts w:ascii="Times New Roman" w:hAnsi="Times New Roman"/>
          <w:sz w:val="24"/>
        </w:rPr>
        <w:t>Левкович М.</w:t>
      </w:r>
      <w:r>
        <w:rPr>
          <w:rFonts w:ascii="Times New Roman" w:hAnsi="Times New Roman"/>
          <w:sz w:val="24"/>
        </w:rPr>
        <w:t xml:space="preserve"> </w:t>
      </w:r>
      <w:r>
        <w:rPr>
          <w:rFonts w:ascii="Times New Roman" w:hAnsi="Times New Roman"/>
          <w:sz w:val="24"/>
        </w:rPr>
        <w:t>Г., Ковальчук Ю.</w:t>
      </w:r>
      <w:r>
        <w:rPr>
          <w:rFonts w:ascii="Times New Roman" w:hAnsi="Times New Roman"/>
          <w:sz w:val="24"/>
        </w:rPr>
        <w:t xml:space="preserve"> </w:t>
      </w:r>
      <w:r>
        <w:rPr>
          <w:rFonts w:ascii="Times New Roman" w:hAnsi="Times New Roman"/>
          <w:sz w:val="24"/>
        </w:rPr>
        <w:t xml:space="preserve">П. Вплив показників організаційно-функціональної структури АТП на якість перевезення пасажирів. </w:t>
      </w:r>
      <w:r>
        <w:rPr>
          <w:rFonts w:ascii="Times New Roman" w:hAnsi="Times New Roman"/>
          <w:i w:val="1"/>
          <w:sz w:val="24"/>
        </w:rPr>
        <w:t>Матеріали VІІ Міжнародної науково-технічної конференції молодих учених та студентів «Актуальні задачі сучасних технологій»</w:t>
      </w:r>
      <w:r>
        <w:rPr>
          <w:rFonts w:ascii="Times New Roman" w:hAnsi="Times New Roman"/>
          <w:sz w:val="24"/>
        </w:rPr>
        <w:t>. – Тернопіль, 28-29 листопада 2018. – С. 200-201.</w:t>
      </w:r>
    </w:p>
    <w:p>
      <w:pPr>
        <w:widowControl w:val="0"/>
        <w:numPr>
          <w:ilvl w:val="0"/>
          <w:numId w:val="6"/>
        </w:numPr>
        <w:spacing w:lineRule="auto" w:line="240" w:after="0" w:beforeAutospacing="0" w:afterAutospacing="0"/>
        <w:ind w:firstLine="426" w:left="0"/>
        <w:jc w:val="both"/>
        <w:rPr>
          <w:rFonts w:ascii="Times New Roman" w:hAnsi="Times New Roman"/>
          <w:sz w:val="24"/>
        </w:rPr>
      </w:pPr>
      <w:r>
        <w:rPr>
          <w:rFonts w:ascii="Times New Roman" w:hAnsi="Times New Roman"/>
          <w:sz w:val="24"/>
        </w:rPr>
        <w:t>Кашканов А.</w:t>
      </w:r>
      <w:r>
        <w:rPr>
          <w:rFonts w:ascii="Times New Roman" w:hAnsi="Times New Roman"/>
          <w:sz w:val="24"/>
        </w:rPr>
        <w:t xml:space="preserve"> </w:t>
      </w:r>
      <w:r>
        <w:rPr>
          <w:rFonts w:ascii="Times New Roman" w:hAnsi="Times New Roman"/>
          <w:sz w:val="24"/>
        </w:rPr>
        <w:t>А., Кашканова Г.</w:t>
      </w:r>
      <w:r>
        <w:rPr>
          <w:rFonts w:ascii="Times New Roman" w:hAnsi="Times New Roman"/>
          <w:sz w:val="24"/>
        </w:rPr>
        <w:t xml:space="preserve"> </w:t>
      </w:r>
      <w:r>
        <w:rPr>
          <w:rFonts w:ascii="Times New Roman" w:hAnsi="Times New Roman"/>
          <w:sz w:val="24"/>
        </w:rPr>
        <w:t>Г., Стенжицька І.</w:t>
      </w:r>
      <w:r>
        <w:rPr>
          <w:rFonts w:ascii="Times New Roman" w:hAnsi="Times New Roman"/>
          <w:sz w:val="24"/>
        </w:rPr>
        <w:t xml:space="preserve"> </w:t>
      </w:r>
      <w:r>
        <w:rPr>
          <w:rFonts w:ascii="Times New Roman" w:hAnsi="Times New Roman"/>
          <w:sz w:val="24"/>
        </w:rPr>
        <w:t xml:space="preserve">Є. Оцінка якості автотранспортного обслуговування пасажирських перевезень в умовах нечітко визначених очікувань споживачів. </w:t>
      </w:r>
      <w:r>
        <w:rPr>
          <w:rFonts w:ascii="Times New Roman" w:hAnsi="Times New Roman"/>
          <w:i w:val="1"/>
          <w:sz w:val="24"/>
        </w:rPr>
        <w:t>Міжвузівський збірник "НАУКОВІ НОТАТКИ"</w:t>
      </w:r>
      <w:r>
        <w:rPr>
          <w:rFonts w:ascii="Times New Roman" w:hAnsi="Times New Roman"/>
          <w:sz w:val="24"/>
        </w:rPr>
        <w:t>. Випуск №28. – Луцьк, 2010. – С. 248 -251.</w:t>
      </w:r>
    </w:p>
    <w:p>
      <w:pPr>
        <w:widowControl w:val="0"/>
        <w:numPr>
          <w:ilvl w:val="0"/>
          <w:numId w:val="6"/>
        </w:numPr>
        <w:spacing w:lineRule="auto" w:line="240" w:after="0" w:beforeAutospacing="0" w:afterAutospacing="0"/>
        <w:ind w:firstLine="426" w:left="0"/>
        <w:jc w:val="both"/>
        <w:rPr>
          <w:rFonts w:ascii="Times New Roman" w:hAnsi="Times New Roman"/>
          <w:sz w:val="24"/>
        </w:rPr>
      </w:pPr>
      <w:r>
        <w:rPr>
          <w:rFonts w:ascii="Times New Roman" w:hAnsi="Times New Roman"/>
          <w:sz w:val="24"/>
        </w:rPr>
        <w:t>Фесенко Б.</w:t>
      </w:r>
      <w:r>
        <w:rPr>
          <w:rFonts w:ascii="Times New Roman" w:hAnsi="Times New Roman"/>
          <w:sz w:val="24"/>
        </w:rPr>
        <w:t xml:space="preserve"> </w:t>
      </w:r>
      <w:r>
        <w:rPr>
          <w:rFonts w:ascii="Times New Roman" w:hAnsi="Times New Roman"/>
          <w:sz w:val="24"/>
        </w:rPr>
        <w:t>О., Колій. О.</w:t>
      </w:r>
      <w:r>
        <w:rPr>
          <w:rFonts w:ascii="Times New Roman" w:hAnsi="Times New Roman"/>
          <w:sz w:val="24"/>
        </w:rPr>
        <w:t xml:space="preserve"> </w:t>
      </w:r>
      <w:r>
        <w:rPr>
          <w:rFonts w:ascii="Times New Roman" w:hAnsi="Times New Roman"/>
          <w:sz w:val="24"/>
        </w:rPr>
        <w:t xml:space="preserve">С. Рівень якості перевезення пасажирських автоперевезень на прикладі автобусних перевезень. URL: </w:t>
      </w:r>
      <w:r>
        <w:rPr>
          <w:rFonts w:ascii="Times New Roman" w:hAnsi="Times New Roman"/>
          <w:sz w:val="24"/>
        </w:rPr>
        <w:fldChar w:fldCharType="begin"/>
      </w:r>
      <w:r>
        <w:rPr>
          <w:rFonts w:ascii="Times New Roman" w:hAnsi="Times New Roman"/>
          <w:sz w:val="24"/>
        </w:rPr>
        <w:instrText>HYPERLINK "https://eprints.kname.edu.ua/46576/1/"</w:instrText>
      </w:r>
      <w:r>
        <w:rPr>
          <w:rFonts w:ascii="Times New Roman" w:hAnsi="Times New Roman"/>
          <w:sz w:val="24"/>
        </w:rPr>
        <w:fldChar w:fldCharType="separate"/>
      </w:r>
      <w:r>
        <w:rPr>
          <w:rStyle w:val="C2"/>
          <w:rFonts w:ascii="Times New Roman" w:hAnsi="Times New Roman"/>
          <w:sz w:val="24"/>
        </w:rPr>
        <w:t>https://eprints.kname.edu.ua/46576/1/</w:t>
      </w:r>
      <w:r>
        <w:rPr>
          <w:rStyle w:val="C2"/>
          <w:rFonts w:ascii="Times New Roman" w:hAnsi="Times New Roman"/>
          <w:sz w:val="24"/>
        </w:rPr>
        <w:fldChar w:fldCharType="end"/>
      </w:r>
      <w:r>
        <w:rPr>
          <w:rFonts w:ascii="Times New Roman" w:hAnsi="Times New Roman"/>
          <w:sz w:val="24"/>
        </w:rPr>
        <w:t xml:space="preserve"> ilovepdf_ com-137-138.pdf. (дата звернення: 10.09.2021).</w:t>
      </w:r>
    </w:p>
    <w:p>
      <w:pPr>
        <w:widowControl w:val="0"/>
        <w:numPr>
          <w:ilvl w:val="0"/>
          <w:numId w:val="6"/>
        </w:numPr>
        <w:spacing w:lineRule="auto" w:line="240" w:after="0" w:beforeAutospacing="0" w:afterAutospacing="0"/>
        <w:ind w:firstLine="426" w:left="0"/>
        <w:jc w:val="both"/>
        <w:rPr>
          <w:rFonts w:ascii="Times New Roman" w:hAnsi="Times New Roman"/>
          <w:sz w:val="24"/>
        </w:rPr>
      </w:pPr>
      <w:r>
        <w:rPr>
          <w:rFonts w:ascii="Times New Roman" w:hAnsi="Times New Roman"/>
          <w:sz w:val="24"/>
        </w:rPr>
        <w:t xml:space="preserve"> Вакуленко К.</w:t>
      </w:r>
      <w:r>
        <w:rPr>
          <w:rFonts w:ascii="Times New Roman" w:hAnsi="Times New Roman"/>
          <w:sz w:val="24"/>
        </w:rPr>
        <w:t xml:space="preserve"> </w:t>
      </w:r>
      <w:r>
        <w:rPr>
          <w:rFonts w:ascii="Times New Roman" w:hAnsi="Times New Roman"/>
          <w:sz w:val="24"/>
        </w:rPr>
        <w:t>Є., Харченко В.</w:t>
      </w:r>
      <w:r>
        <w:rPr>
          <w:rFonts w:ascii="Times New Roman" w:hAnsi="Times New Roman"/>
          <w:sz w:val="24"/>
        </w:rPr>
        <w:t xml:space="preserve"> </w:t>
      </w:r>
      <w:r>
        <w:rPr>
          <w:rFonts w:ascii="Times New Roman" w:hAnsi="Times New Roman"/>
          <w:sz w:val="24"/>
        </w:rPr>
        <w:t xml:space="preserve">Ф. Щодо якості перевезень на маршрутах міського пасажирського транспорту. </w:t>
      </w:r>
      <w:r>
        <w:rPr>
          <w:rFonts w:ascii="Times New Roman" w:hAnsi="Times New Roman"/>
          <w:i w:val="1"/>
          <w:sz w:val="24"/>
        </w:rPr>
        <w:t>Восточно-Европейский журнал передовых технологий</w:t>
      </w:r>
      <w:r>
        <w:rPr>
          <w:rFonts w:ascii="Times New Roman" w:hAnsi="Times New Roman"/>
          <w:sz w:val="24"/>
        </w:rPr>
        <w:t>. – 2012. – № 3 (4). – С. 57–59.</w:t>
      </w:r>
    </w:p>
    <w:p>
      <w:pPr>
        <w:widowControl w:val="0"/>
        <w:numPr>
          <w:ilvl w:val="0"/>
          <w:numId w:val="6"/>
        </w:numPr>
        <w:spacing w:lineRule="auto" w:line="240" w:after="0" w:beforeAutospacing="0" w:afterAutospacing="0"/>
        <w:ind w:firstLine="426" w:left="0"/>
        <w:jc w:val="both"/>
        <w:rPr>
          <w:rFonts w:ascii="Times New Roman" w:hAnsi="Times New Roman"/>
          <w:sz w:val="24"/>
        </w:rPr>
      </w:pPr>
      <w:r>
        <w:rPr>
          <w:rFonts w:ascii="Times New Roman" w:hAnsi="Times New Roman"/>
          <w:sz w:val="24"/>
        </w:rPr>
        <w:t xml:space="preserve"> Жук М.</w:t>
      </w:r>
      <w:r>
        <w:rPr>
          <w:rFonts w:ascii="Times New Roman" w:hAnsi="Times New Roman"/>
          <w:sz w:val="24"/>
        </w:rPr>
        <w:t xml:space="preserve"> </w:t>
      </w:r>
      <w:r>
        <w:rPr>
          <w:rFonts w:ascii="Times New Roman" w:hAnsi="Times New Roman"/>
          <w:sz w:val="24"/>
        </w:rPr>
        <w:t>М., Півторак Г.</w:t>
      </w:r>
      <w:r>
        <w:rPr>
          <w:rFonts w:ascii="Times New Roman" w:hAnsi="Times New Roman"/>
          <w:sz w:val="24"/>
        </w:rPr>
        <w:t xml:space="preserve"> </w:t>
      </w:r>
      <w:r>
        <w:rPr>
          <w:rFonts w:ascii="Times New Roman" w:hAnsi="Times New Roman"/>
          <w:sz w:val="24"/>
        </w:rPr>
        <w:t xml:space="preserve">В. Оцінка регулярності руху транспортних засобів на міському автобусному маршруті з точки зору пасажира за допомогою програмного модуля в середовищі python. </w:t>
      </w:r>
      <w:r>
        <w:rPr>
          <w:rFonts w:ascii="Times New Roman" w:hAnsi="Times New Roman"/>
          <w:i w:val="1"/>
          <w:sz w:val="24"/>
        </w:rPr>
        <w:t>Вісник Національного університету «Львівська політехніка». Динаміка, міцність та проектування машин і приладів</w:t>
      </w:r>
      <w:r>
        <w:rPr>
          <w:rFonts w:ascii="Times New Roman" w:hAnsi="Times New Roman"/>
          <w:sz w:val="24"/>
        </w:rPr>
        <w:t>. – 2016. – № 838. – С. 168–172.</w:t>
      </w:r>
      <w:r>
        <w:rPr>
          <w:rFonts w:ascii="Times New Roman" w:hAnsi="Times New Roman"/>
          <w:sz w:val="24"/>
        </w:rPr>
        <w:t xml:space="preserve"> </w:t>
      </w:r>
    </w:p>
    <w:p>
      <w:pPr>
        <w:widowControl w:val="0"/>
        <w:numPr>
          <w:ilvl w:val="0"/>
          <w:numId w:val="6"/>
        </w:numPr>
        <w:spacing w:lineRule="auto" w:line="240" w:after="0" w:beforeAutospacing="0" w:afterAutospacing="0"/>
        <w:ind w:firstLine="426" w:left="0"/>
        <w:jc w:val="both"/>
        <w:rPr>
          <w:rFonts w:ascii="Times New Roman" w:hAnsi="Times New Roman"/>
          <w:sz w:val="24"/>
        </w:rPr>
      </w:pPr>
      <w:r>
        <w:rPr>
          <w:rFonts w:ascii="Times New Roman" w:hAnsi="Times New Roman"/>
          <w:sz w:val="24"/>
        </w:rPr>
        <w:t>Меленчук Т.</w:t>
      </w:r>
      <w:r>
        <w:rPr>
          <w:rFonts w:ascii="Times New Roman" w:hAnsi="Times New Roman"/>
          <w:sz w:val="24"/>
        </w:rPr>
        <w:t xml:space="preserve"> </w:t>
      </w:r>
      <w:r>
        <w:rPr>
          <w:rFonts w:ascii="Times New Roman" w:hAnsi="Times New Roman"/>
          <w:sz w:val="24"/>
        </w:rPr>
        <w:t xml:space="preserve">М., </w:t>
      </w:r>
      <w:r>
        <w:rPr>
          <w:rFonts w:ascii="Times New Roman" w:hAnsi="Times New Roman"/>
          <w:color w:val="000000"/>
          <w:sz w:val="24"/>
        </w:rPr>
        <w:t>Кірілюк Є.</w:t>
      </w:r>
      <w:r>
        <w:rPr>
          <w:rFonts w:ascii="Times New Roman" w:hAnsi="Times New Roman"/>
          <w:color w:val="000000"/>
          <w:sz w:val="24"/>
        </w:rPr>
        <w:t xml:space="preserve"> </w:t>
      </w:r>
      <w:r>
        <w:rPr>
          <w:rFonts w:ascii="Times New Roman" w:hAnsi="Times New Roman"/>
          <w:color w:val="000000"/>
          <w:sz w:val="24"/>
        </w:rPr>
        <w:t xml:space="preserve">В. </w:t>
      </w:r>
      <w:r>
        <w:rPr>
          <w:rFonts w:ascii="Times New Roman" w:hAnsi="Times New Roman"/>
          <w:sz w:val="24"/>
        </w:rPr>
        <w:t>До</w:t>
      </w:r>
      <w:r>
        <w:rPr>
          <w:rFonts w:ascii="Times New Roman" w:hAnsi="Times New Roman"/>
          <w:b w:val="1"/>
          <w:sz w:val="24"/>
        </w:rPr>
        <w:t xml:space="preserve"> </w:t>
      </w:r>
      <w:r>
        <w:rPr>
          <w:rFonts w:ascii="Times New Roman" w:hAnsi="Times New Roman"/>
          <w:sz w:val="24"/>
        </w:rPr>
        <w:t xml:space="preserve">питання формування системи оцінки якості перевезення пасажирів у містах. </w:t>
      </w:r>
      <w:r>
        <w:rPr>
          <w:rFonts w:ascii="Times New Roman" w:hAnsi="Times New Roman"/>
          <w:i w:val="1"/>
          <w:color w:val="222222"/>
          <w:sz w:val="24"/>
        </w:rPr>
        <w:t>Сучасні технології в машинобудуванні та транспорті</w:t>
      </w:r>
      <w:r>
        <w:rPr>
          <w:rFonts w:ascii="Times New Roman" w:hAnsi="Times New Roman"/>
          <w:color w:val="222222"/>
          <w:sz w:val="24"/>
        </w:rPr>
        <w:t xml:space="preserve">, </w:t>
      </w:r>
      <w:r>
        <w:rPr>
          <w:rFonts w:ascii="Times New Roman" w:hAnsi="Times New Roman"/>
          <w:sz w:val="24"/>
        </w:rPr>
        <w:t>2020, №2 (15). – С. 72-78.</w:t>
      </w:r>
    </w:p>
    <w:p>
      <w:pPr>
        <w:widowControl w:val="0"/>
        <w:numPr>
          <w:ilvl w:val="0"/>
          <w:numId w:val="6"/>
        </w:numPr>
        <w:spacing w:lineRule="auto" w:line="240" w:after="0" w:beforeAutospacing="0" w:afterAutospacing="0"/>
        <w:ind w:firstLine="426" w:left="0"/>
        <w:jc w:val="both"/>
        <w:rPr>
          <w:rFonts w:ascii="Times New Roman" w:hAnsi="Times New Roman"/>
          <w:sz w:val="24"/>
        </w:rPr>
      </w:pPr>
      <w:r>
        <w:rPr>
          <w:rFonts w:ascii="Times New Roman" w:hAnsi="Times New Roman"/>
          <w:sz w:val="24"/>
        </w:rPr>
        <w:t>Литвак Б. Г. Экспертные оценки и принятие решений. – М.: Патент, 1996.</w:t>
      </w:r>
      <w:r>
        <w:rPr>
          <w:rFonts w:ascii="Times New Roman" w:hAnsi="Times New Roman"/>
          <w:sz w:val="24"/>
        </w:rPr>
        <w:br w:type="textWrapping"/>
      </w:r>
      <w:r>
        <w:rPr>
          <w:rFonts w:ascii="Times New Roman" w:hAnsi="Times New Roman"/>
          <w:sz w:val="24"/>
        </w:rPr>
        <w:t xml:space="preserve"> - 271 с.</w:t>
      </w: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lineRule="auto" w:line="240" w:beforeAutospacing="0" w:afterAutospacing="0"/>
      <w:jc w:val="both"/>
      <w:rPr>
        <w:rFonts w:ascii="Times New Roman" w:hAnsi="Times New Roman"/>
        <w:sz w:val="24"/>
      </w:rPr>
    </w:pPr>
    <w:r>
      <w:rPr>
        <w:rFonts w:ascii="Times New Roman" w:hAnsi="Times New Roman"/>
        <w:sz w:val="24"/>
      </w:rPr>
      <w:t xml:space="preserve">Тези доповідей 57-ої наукової конференції молодих дослідників Державного університету «Одеська політехніка» секції «Автомобільний  транспорт та логістика»//Одеса: Одеська політехніка, 2022, вип.57 </w:t>
    </w:r>
  </w:p>
</w:hdr>
</file>

<file path=word/numbering.xml><?xml version="1.0" encoding="utf-8"?>
<w:numbering xmlns:w="http://schemas.openxmlformats.org/wordprocessingml/2006/main">
  <w:abstractNum w:abstractNumId="0">
    <w:nsid w:val="00000006"/>
    <w:multiLevelType w:val="multilevel"/>
    <w:lvl w:ilvl="0">
      <w:start w:val="1"/>
      <w:numFmt w:val="decimal"/>
      <w:suff w:val="tab"/>
      <w:lvlText w:val="%1."/>
      <w:lvlJc w:val="left"/>
      <w:pPr>
        <w:ind w:hanging="360" w:left="644"/>
      </w:pPr>
      <w:rPr>
        <w:i w:val="0"/>
        <w:sz w:val="22"/>
      </w:rPr>
    </w:lvl>
    <w:lvl w:ilvl="1">
      <w:start w:val="1"/>
      <w:numFmt w:val="lowerLetter"/>
      <w:suff w:val="tab"/>
      <w:lvlText w:val="%2."/>
      <w:lvlJc w:val="left"/>
      <w:pPr>
        <w:ind w:hanging="360" w:left="-1755"/>
      </w:pPr>
      <w:rPr/>
    </w:lvl>
    <w:lvl w:ilvl="2">
      <w:start w:val="1"/>
      <w:numFmt w:val="lowerRoman"/>
      <w:suff w:val="tab"/>
      <w:lvlText w:val="%3."/>
      <w:lvlJc w:val="right"/>
      <w:pPr>
        <w:ind w:hanging="180" w:left="-1035"/>
      </w:pPr>
      <w:rPr/>
    </w:lvl>
    <w:lvl w:ilvl="3">
      <w:start w:val="1"/>
      <w:numFmt w:val="decimal"/>
      <w:suff w:val="tab"/>
      <w:lvlText w:val="%4."/>
      <w:lvlJc w:val="left"/>
      <w:pPr>
        <w:ind w:hanging="360" w:left="-315"/>
      </w:pPr>
      <w:rPr/>
    </w:lvl>
    <w:lvl w:ilvl="4">
      <w:start w:val="1"/>
      <w:numFmt w:val="lowerLetter"/>
      <w:suff w:val="tab"/>
      <w:lvlText w:val="%5."/>
      <w:lvlJc w:val="left"/>
      <w:pPr>
        <w:ind w:hanging="360" w:left="405"/>
      </w:pPr>
      <w:rPr/>
    </w:lvl>
    <w:lvl w:ilvl="5">
      <w:start w:val="1"/>
      <w:numFmt w:val="lowerRoman"/>
      <w:suff w:val="tab"/>
      <w:lvlText w:val="%6."/>
      <w:lvlJc w:val="right"/>
      <w:pPr>
        <w:ind w:hanging="180" w:left="1125"/>
      </w:pPr>
      <w:rPr/>
    </w:lvl>
    <w:lvl w:ilvl="6">
      <w:start w:val="1"/>
      <w:numFmt w:val="decimal"/>
      <w:suff w:val="tab"/>
      <w:lvlText w:val="%7."/>
      <w:lvlJc w:val="left"/>
      <w:pPr>
        <w:ind w:hanging="360" w:left="1845"/>
      </w:pPr>
      <w:rPr/>
    </w:lvl>
    <w:lvl w:ilvl="7">
      <w:start w:val="1"/>
      <w:numFmt w:val="lowerLetter"/>
      <w:suff w:val="tab"/>
      <w:lvlText w:val="%8."/>
      <w:lvlJc w:val="left"/>
      <w:pPr>
        <w:ind w:hanging="360" w:left="2565"/>
      </w:pPr>
      <w:rPr/>
    </w:lvl>
    <w:lvl w:ilvl="8">
      <w:start w:val="1"/>
      <w:numFmt w:val="lowerRoman"/>
      <w:suff w:val="tab"/>
      <w:lvlText w:val="%9."/>
      <w:lvlJc w:val="right"/>
      <w:pPr>
        <w:ind w:hanging="180" w:left="3285"/>
      </w:pPr>
      <w:rPr/>
    </w:lvl>
  </w:abstractNum>
  <w:abstractNum w:abstractNumId="1">
    <w:nsid w:val="00E44E7D"/>
    <w:multiLevelType w:val="hybridMultilevel"/>
    <w:lvl w:ilvl="0" w:tplc="0419000F">
      <w:start w:val="1"/>
      <w:numFmt w:val="decimal"/>
      <w:suff w:val="tab"/>
      <w:lvlText w:val="%1."/>
      <w:lvlJc w:val="left"/>
      <w:pPr>
        <w:ind w:hanging="360" w:left="360"/>
      </w:pPr>
      <w:rPr/>
    </w:lvl>
    <w:lvl w:ilvl="1" w:tplc="04190019">
      <w:start w:val="1"/>
      <w:numFmt w:val="lowerLetter"/>
      <w:suff w:val="tab"/>
      <w:lvlText w:val="%2."/>
      <w:lvlJc w:val="left"/>
      <w:pPr>
        <w:ind w:hanging="360" w:left="1080"/>
      </w:pPr>
      <w:rPr/>
    </w:lvl>
    <w:lvl w:ilvl="2" w:tplc="0419001B">
      <w:start w:val="1"/>
      <w:numFmt w:val="lowerRoman"/>
      <w:suff w:val="tab"/>
      <w:lvlText w:val="%3."/>
      <w:lvlJc w:val="right"/>
      <w:pPr>
        <w:ind w:hanging="180" w:left="1800"/>
      </w:pPr>
      <w:rPr/>
    </w:lvl>
    <w:lvl w:ilvl="3" w:tplc="0419000F">
      <w:start w:val="1"/>
      <w:numFmt w:val="decimal"/>
      <w:suff w:val="tab"/>
      <w:lvlText w:val="%4."/>
      <w:lvlJc w:val="left"/>
      <w:pPr>
        <w:ind w:hanging="360" w:left="2520"/>
      </w:pPr>
      <w:rPr/>
    </w:lvl>
    <w:lvl w:ilvl="4" w:tplc="04190019">
      <w:start w:val="1"/>
      <w:numFmt w:val="lowerLetter"/>
      <w:suff w:val="tab"/>
      <w:lvlText w:val="%5."/>
      <w:lvlJc w:val="left"/>
      <w:pPr>
        <w:ind w:hanging="360" w:left="3240"/>
      </w:pPr>
      <w:rPr/>
    </w:lvl>
    <w:lvl w:ilvl="5" w:tplc="0419001B">
      <w:start w:val="1"/>
      <w:numFmt w:val="lowerRoman"/>
      <w:suff w:val="tab"/>
      <w:lvlText w:val="%6."/>
      <w:lvlJc w:val="right"/>
      <w:pPr>
        <w:ind w:hanging="180" w:left="3960"/>
      </w:pPr>
      <w:rPr/>
    </w:lvl>
    <w:lvl w:ilvl="6" w:tplc="0419000F">
      <w:start w:val="1"/>
      <w:numFmt w:val="decimal"/>
      <w:suff w:val="tab"/>
      <w:lvlText w:val="%7."/>
      <w:lvlJc w:val="left"/>
      <w:pPr>
        <w:ind w:hanging="360" w:left="4680"/>
      </w:pPr>
      <w:rPr/>
    </w:lvl>
    <w:lvl w:ilvl="7" w:tplc="04190019">
      <w:start w:val="1"/>
      <w:numFmt w:val="lowerLetter"/>
      <w:suff w:val="tab"/>
      <w:lvlText w:val="%8."/>
      <w:lvlJc w:val="left"/>
      <w:pPr>
        <w:ind w:hanging="360" w:left="5400"/>
      </w:pPr>
      <w:rPr/>
    </w:lvl>
    <w:lvl w:ilvl="8" w:tplc="0419001B">
      <w:start w:val="1"/>
      <w:numFmt w:val="lowerRoman"/>
      <w:suff w:val="tab"/>
      <w:lvlText w:val="%9."/>
      <w:lvlJc w:val="right"/>
      <w:pPr>
        <w:ind w:hanging="180" w:left="6120"/>
      </w:pPr>
      <w:rPr/>
    </w:lvl>
  </w:abstractNum>
  <w:abstractNum w:abstractNumId="2">
    <w:nsid w:val="027E5A01"/>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3">
    <w:nsid w:val="10774A7A"/>
    <w:multiLevelType w:val="hybridMultilevel"/>
    <w:lvl w:ilvl="0" w:tplc="FB2676E0">
      <w:start w:val="1"/>
      <w:numFmt w:val="bullet"/>
      <w:suff w:val="tab"/>
      <w:lvlText w:val=""/>
      <w:lvlJc w:val="left"/>
      <w:pPr>
        <w:ind w:hanging="360" w:left="720"/>
        <w:tabs>
          <w:tab w:val="left" w:pos="720" w:leader="none"/>
        </w:tabs>
      </w:pPr>
      <w:rPr>
        <w:rFonts w:ascii="Wingdings" w:hAnsi="Wingdings"/>
      </w:rPr>
    </w:lvl>
    <w:lvl w:ilvl="1" w:tplc="CFA45F80">
      <w:start w:val="1"/>
      <w:numFmt w:val="bullet"/>
      <w:suff w:val="tab"/>
      <w:lvlText w:val=""/>
      <w:lvlJc w:val="left"/>
      <w:pPr>
        <w:ind w:hanging="360" w:left="1440"/>
        <w:tabs>
          <w:tab w:val="left" w:pos="1440" w:leader="none"/>
        </w:tabs>
      </w:pPr>
      <w:rPr>
        <w:rFonts w:ascii="Wingdings" w:hAnsi="Wingdings"/>
      </w:rPr>
    </w:lvl>
    <w:lvl w:ilvl="2" w:tplc="099870FE">
      <w:start w:val="1"/>
      <w:numFmt w:val="bullet"/>
      <w:suff w:val="tab"/>
      <w:lvlText w:val=""/>
      <w:lvlJc w:val="left"/>
      <w:pPr>
        <w:ind w:hanging="360" w:left="2160"/>
        <w:tabs>
          <w:tab w:val="left" w:pos="2160" w:leader="none"/>
        </w:tabs>
      </w:pPr>
      <w:rPr>
        <w:rFonts w:ascii="Wingdings" w:hAnsi="Wingdings"/>
      </w:rPr>
    </w:lvl>
    <w:lvl w:ilvl="3" w:tplc="3078E1BE">
      <w:start w:val="1"/>
      <w:numFmt w:val="bullet"/>
      <w:suff w:val="tab"/>
      <w:lvlText w:val=""/>
      <w:lvlJc w:val="left"/>
      <w:pPr>
        <w:ind w:hanging="360" w:left="2880"/>
        <w:tabs>
          <w:tab w:val="left" w:pos="2880" w:leader="none"/>
        </w:tabs>
      </w:pPr>
      <w:rPr>
        <w:rFonts w:ascii="Wingdings" w:hAnsi="Wingdings"/>
      </w:rPr>
    </w:lvl>
    <w:lvl w:ilvl="4" w:tplc="D91E161C">
      <w:start w:val="1"/>
      <w:numFmt w:val="bullet"/>
      <w:suff w:val="tab"/>
      <w:lvlText w:val=""/>
      <w:lvlJc w:val="left"/>
      <w:pPr>
        <w:ind w:hanging="360" w:left="3600"/>
        <w:tabs>
          <w:tab w:val="left" w:pos="3600" w:leader="none"/>
        </w:tabs>
      </w:pPr>
      <w:rPr>
        <w:rFonts w:ascii="Wingdings" w:hAnsi="Wingdings"/>
      </w:rPr>
    </w:lvl>
    <w:lvl w:ilvl="5" w:tplc="9458A306">
      <w:start w:val="1"/>
      <w:numFmt w:val="bullet"/>
      <w:suff w:val="tab"/>
      <w:lvlText w:val=""/>
      <w:lvlJc w:val="left"/>
      <w:pPr>
        <w:ind w:hanging="360" w:left="4320"/>
        <w:tabs>
          <w:tab w:val="left" w:pos="4320" w:leader="none"/>
        </w:tabs>
      </w:pPr>
      <w:rPr>
        <w:rFonts w:ascii="Wingdings" w:hAnsi="Wingdings"/>
      </w:rPr>
    </w:lvl>
    <w:lvl w:ilvl="6" w:tplc="AF26B92C">
      <w:start w:val="1"/>
      <w:numFmt w:val="bullet"/>
      <w:suff w:val="tab"/>
      <w:lvlText w:val=""/>
      <w:lvlJc w:val="left"/>
      <w:pPr>
        <w:ind w:hanging="360" w:left="5040"/>
        <w:tabs>
          <w:tab w:val="left" w:pos="5040" w:leader="none"/>
        </w:tabs>
      </w:pPr>
      <w:rPr>
        <w:rFonts w:ascii="Wingdings" w:hAnsi="Wingdings"/>
      </w:rPr>
    </w:lvl>
    <w:lvl w:ilvl="7" w:tplc="74DED7F2">
      <w:start w:val="1"/>
      <w:numFmt w:val="bullet"/>
      <w:suff w:val="tab"/>
      <w:lvlText w:val=""/>
      <w:lvlJc w:val="left"/>
      <w:pPr>
        <w:ind w:hanging="360" w:left="5760"/>
        <w:tabs>
          <w:tab w:val="left" w:pos="5760" w:leader="none"/>
        </w:tabs>
      </w:pPr>
      <w:rPr>
        <w:rFonts w:ascii="Wingdings" w:hAnsi="Wingdings"/>
      </w:rPr>
    </w:lvl>
    <w:lvl w:ilvl="8" w:tplc="DC624E08">
      <w:start w:val="1"/>
      <w:numFmt w:val="bullet"/>
      <w:suff w:val="tab"/>
      <w:lvlText w:val=""/>
      <w:lvlJc w:val="left"/>
      <w:pPr>
        <w:ind w:hanging="360" w:left="6480"/>
        <w:tabs>
          <w:tab w:val="left" w:pos="6480" w:leader="none"/>
        </w:tabs>
      </w:pPr>
      <w:rPr>
        <w:rFonts w:ascii="Wingdings" w:hAnsi="Wingdings"/>
      </w:rPr>
    </w:lvl>
  </w:abstractNum>
  <w:abstractNum w:abstractNumId="4">
    <w:nsid w:val="2FCC51EF"/>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5">
    <w:nsid w:val="3D7B5460"/>
    <w:multiLevelType w:val="hybridMultilevel"/>
    <w:lvl w:ilvl="0" w:tplc="39E8F27E">
      <w:start w:val="1"/>
      <w:numFmt w:val="bullet"/>
      <w:suff w:val="tab"/>
      <w:lvlText w:val=""/>
      <w:lvlJc w:val="left"/>
      <w:pPr>
        <w:ind w:hanging="360" w:left="720"/>
        <w:tabs>
          <w:tab w:val="left" w:pos="720" w:leader="none"/>
        </w:tabs>
      </w:pPr>
      <w:rPr>
        <w:rFonts w:ascii="Wingdings" w:hAnsi="Wingdings"/>
      </w:rPr>
    </w:lvl>
    <w:lvl w:ilvl="1" w:tplc="7C9CF37A">
      <w:start w:val="1"/>
      <w:numFmt w:val="bullet"/>
      <w:suff w:val="tab"/>
      <w:lvlText w:val=""/>
      <w:lvlJc w:val="left"/>
      <w:pPr>
        <w:ind w:hanging="360" w:left="1440"/>
        <w:tabs>
          <w:tab w:val="left" w:pos="1440" w:leader="none"/>
        </w:tabs>
      </w:pPr>
      <w:rPr>
        <w:rFonts w:ascii="Wingdings" w:hAnsi="Wingdings"/>
      </w:rPr>
    </w:lvl>
    <w:lvl w:ilvl="2" w:tplc="3B407090">
      <w:start w:val="1"/>
      <w:numFmt w:val="bullet"/>
      <w:suff w:val="tab"/>
      <w:lvlText w:val=""/>
      <w:lvlJc w:val="left"/>
      <w:pPr>
        <w:ind w:hanging="360" w:left="2160"/>
        <w:tabs>
          <w:tab w:val="left" w:pos="2160" w:leader="none"/>
        </w:tabs>
      </w:pPr>
      <w:rPr>
        <w:rFonts w:ascii="Wingdings" w:hAnsi="Wingdings"/>
      </w:rPr>
    </w:lvl>
    <w:lvl w:ilvl="3" w:tplc="BBC4E942">
      <w:start w:val="1"/>
      <w:numFmt w:val="bullet"/>
      <w:suff w:val="tab"/>
      <w:lvlText w:val=""/>
      <w:lvlJc w:val="left"/>
      <w:pPr>
        <w:ind w:hanging="360" w:left="2880"/>
        <w:tabs>
          <w:tab w:val="left" w:pos="2880" w:leader="none"/>
        </w:tabs>
      </w:pPr>
      <w:rPr>
        <w:rFonts w:ascii="Wingdings" w:hAnsi="Wingdings"/>
      </w:rPr>
    </w:lvl>
    <w:lvl w:ilvl="4" w:tplc="0D06EC22">
      <w:start w:val="1"/>
      <w:numFmt w:val="bullet"/>
      <w:suff w:val="tab"/>
      <w:lvlText w:val=""/>
      <w:lvlJc w:val="left"/>
      <w:pPr>
        <w:ind w:hanging="360" w:left="3600"/>
        <w:tabs>
          <w:tab w:val="left" w:pos="3600" w:leader="none"/>
        </w:tabs>
      </w:pPr>
      <w:rPr>
        <w:rFonts w:ascii="Wingdings" w:hAnsi="Wingdings"/>
      </w:rPr>
    </w:lvl>
    <w:lvl w:ilvl="5" w:tplc="67EE6FE6">
      <w:start w:val="1"/>
      <w:numFmt w:val="bullet"/>
      <w:suff w:val="tab"/>
      <w:lvlText w:val=""/>
      <w:lvlJc w:val="left"/>
      <w:pPr>
        <w:ind w:hanging="360" w:left="4320"/>
        <w:tabs>
          <w:tab w:val="left" w:pos="4320" w:leader="none"/>
        </w:tabs>
      </w:pPr>
      <w:rPr>
        <w:rFonts w:ascii="Wingdings" w:hAnsi="Wingdings"/>
      </w:rPr>
    </w:lvl>
    <w:lvl w:ilvl="6" w:tplc="6B04F0FC">
      <w:start w:val="1"/>
      <w:numFmt w:val="bullet"/>
      <w:suff w:val="tab"/>
      <w:lvlText w:val=""/>
      <w:lvlJc w:val="left"/>
      <w:pPr>
        <w:ind w:hanging="360" w:left="5040"/>
        <w:tabs>
          <w:tab w:val="left" w:pos="5040" w:leader="none"/>
        </w:tabs>
      </w:pPr>
      <w:rPr>
        <w:rFonts w:ascii="Wingdings" w:hAnsi="Wingdings"/>
      </w:rPr>
    </w:lvl>
    <w:lvl w:ilvl="7" w:tplc="8CDA1CA8">
      <w:start w:val="1"/>
      <w:numFmt w:val="bullet"/>
      <w:suff w:val="tab"/>
      <w:lvlText w:val=""/>
      <w:lvlJc w:val="left"/>
      <w:pPr>
        <w:ind w:hanging="360" w:left="5760"/>
        <w:tabs>
          <w:tab w:val="left" w:pos="5760" w:leader="none"/>
        </w:tabs>
      </w:pPr>
      <w:rPr>
        <w:rFonts w:ascii="Wingdings" w:hAnsi="Wingdings"/>
      </w:rPr>
    </w:lvl>
    <w:lvl w:ilvl="8" w:tplc="AE22DDF2">
      <w:start w:val="1"/>
      <w:numFmt w:val="bullet"/>
      <w:suff w:val="tab"/>
      <w:lvlText w:val=""/>
      <w:lvlJc w:val="left"/>
      <w:pPr>
        <w:ind w:hanging="360" w:left="6480"/>
        <w:tabs>
          <w:tab w:val="left" w:pos="6480" w:leader="none"/>
        </w:tabs>
      </w:pPr>
      <w:rPr>
        <w:rFonts w:ascii="Wingdings" w:hAnsi="Wingdings"/>
      </w:rPr>
    </w:lvl>
  </w:abstractNum>
  <w:abstractNum w:abstractNumId="6">
    <w:nsid w:val="6C4553B4"/>
    <w:multiLevelType w:val="hybridMultilevel"/>
    <w:lvl w:ilvl="0" w:tplc="4D4CE1FA">
      <w:start w:val="1"/>
      <w:numFmt w:val="decimal"/>
      <w:suff w:val="tab"/>
      <w:lvlText w:val="%1."/>
      <w:lvlJc w:val="left"/>
      <w:pPr>
        <w:ind w:hanging="360" w:left="643"/>
        <w:tabs>
          <w:tab w:val="left" w:pos="643" w:leader="none"/>
        </w:tabs>
      </w:pPr>
      <w:rPr/>
    </w:lvl>
    <w:lvl w:ilvl="1" w:tplc="CB086996">
      <w:start w:val="1"/>
      <w:numFmt w:val="decimal"/>
      <w:suff w:val="tab"/>
      <w:lvlText w:val="%2."/>
      <w:lvlJc w:val="left"/>
      <w:pPr>
        <w:ind w:hanging="360" w:left="1363"/>
        <w:tabs>
          <w:tab w:val="left" w:pos="1363" w:leader="none"/>
        </w:tabs>
      </w:pPr>
      <w:rPr/>
    </w:lvl>
    <w:lvl w:ilvl="2" w:tplc="FD2E8794">
      <w:start w:val="1"/>
      <w:numFmt w:val="decimal"/>
      <w:suff w:val="tab"/>
      <w:lvlText w:val="%3."/>
      <w:lvlJc w:val="left"/>
      <w:pPr>
        <w:ind w:hanging="360" w:left="2083"/>
        <w:tabs>
          <w:tab w:val="left" w:pos="2083" w:leader="none"/>
        </w:tabs>
      </w:pPr>
      <w:rPr/>
    </w:lvl>
    <w:lvl w:ilvl="3" w:tplc="A124928C">
      <w:start w:val="1"/>
      <w:numFmt w:val="decimal"/>
      <w:suff w:val="tab"/>
      <w:lvlText w:val="%4."/>
      <w:lvlJc w:val="left"/>
      <w:pPr>
        <w:ind w:hanging="360" w:left="2803"/>
        <w:tabs>
          <w:tab w:val="left" w:pos="2803" w:leader="none"/>
        </w:tabs>
      </w:pPr>
      <w:rPr/>
    </w:lvl>
    <w:lvl w:ilvl="4" w:tplc="A10246FC">
      <w:start w:val="1"/>
      <w:numFmt w:val="decimal"/>
      <w:suff w:val="tab"/>
      <w:lvlText w:val="%5."/>
      <w:lvlJc w:val="left"/>
      <w:pPr>
        <w:ind w:hanging="360" w:left="3523"/>
        <w:tabs>
          <w:tab w:val="left" w:pos="3523" w:leader="none"/>
        </w:tabs>
      </w:pPr>
      <w:rPr/>
    </w:lvl>
    <w:lvl w:ilvl="5" w:tplc="B91020C6">
      <w:start w:val="1"/>
      <w:numFmt w:val="decimal"/>
      <w:suff w:val="tab"/>
      <w:lvlText w:val="%6."/>
      <w:lvlJc w:val="left"/>
      <w:pPr>
        <w:ind w:hanging="360" w:left="4243"/>
        <w:tabs>
          <w:tab w:val="left" w:pos="4243" w:leader="none"/>
        </w:tabs>
      </w:pPr>
      <w:rPr/>
    </w:lvl>
    <w:lvl w:ilvl="6" w:tplc="CC60105E">
      <w:start w:val="1"/>
      <w:numFmt w:val="decimal"/>
      <w:suff w:val="tab"/>
      <w:lvlText w:val="%7."/>
      <w:lvlJc w:val="left"/>
      <w:pPr>
        <w:ind w:hanging="360" w:left="4963"/>
        <w:tabs>
          <w:tab w:val="left" w:pos="4963" w:leader="none"/>
        </w:tabs>
      </w:pPr>
      <w:rPr/>
    </w:lvl>
    <w:lvl w:ilvl="7" w:tplc="417E1174">
      <w:start w:val="1"/>
      <w:numFmt w:val="decimal"/>
      <w:suff w:val="tab"/>
      <w:lvlText w:val="%8."/>
      <w:lvlJc w:val="left"/>
      <w:pPr>
        <w:ind w:hanging="360" w:left="5683"/>
        <w:tabs>
          <w:tab w:val="left" w:pos="5683" w:leader="none"/>
        </w:tabs>
      </w:pPr>
      <w:rPr/>
    </w:lvl>
    <w:lvl w:ilvl="8" w:tplc="0EEE32D6">
      <w:start w:val="1"/>
      <w:numFmt w:val="decimal"/>
      <w:suff w:val="tab"/>
      <w:lvlText w:val="%9."/>
      <w:lvlJc w:val="left"/>
      <w:pPr>
        <w:ind w:hanging="360" w:left="6403"/>
        <w:tabs>
          <w:tab w:val="left" w:pos="6403" w:leader="none"/>
        </w:tabs>
      </w:pPr>
      <w:rPr/>
    </w:lvl>
  </w:abstractNum>
  <w:num w:numId="1">
    <w:abstractNumId w:val="1"/>
  </w:num>
  <w:num w:numId="2">
    <w:abstractNumId w:val="6"/>
  </w:num>
  <w:num w:numId="3">
    <w:abstractNumId w:val="3"/>
  </w:num>
  <w:num w:numId="4">
    <w:abstractNumId w:val="5"/>
  </w:num>
  <w:num w:numId="5">
    <w:abstractNumId w:val="2"/>
  </w:num>
  <w:num w:numId="6">
    <w:abstractNumId w:val="0"/>
  </w:num>
  <w:num w:numId="7">
    <w:abstractNumId w:val="4"/>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next w:val="P0"/>
    <w:link w:val="C3"/>
    <w:qFormat/>
    <w:pPr>
      <w:keepNext w:val="1"/>
      <w:keepLines w:val="1"/>
      <w:spacing w:before="480" w:after="0" w:beforeAutospacing="0" w:afterAutospacing="0"/>
      <w:outlineLvl w:val="0"/>
    </w:pPr>
    <w:rPr>
      <w:b w:val="1"/>
      <w:color w:val="365F91"/>
      <w:sz w:val="28"/>
    </w:rPr>
  </w:style>
  <w:style w:type="paragraph" w:styleId="P2">
    <w:name w:val="heading 2"/>
    <w:basedOn w:val="P0"/>
    <w:next w:val="P0"/>
    <w:link w:val="C4"/>
    <w:semiHidden/>
    <w:qFormat/>
    <w:pPr>
      <w:keepNext w:val="1"/>
      <w:keepLines w:val="1"/>
      <w:spacing w:before="200" w:after="0" w:beforeAutospacing="0" w:afterAutospacing="0"/>
      <w:outlineLvl w:val="1"/>
    </w:pPr>
    <w:rPr>
      <w:b w:val="1"/>
      <w:color w:val="4F81BD"/>
      <w:sz w:val="26"/>
    </w:rPr>
  </w:style>
  <w:style w:type="paragraph" w:styleId="P3">
    <w:name w:val="heading 3"/>
    <w:basedOn w:val="P0"/>
    <w:next w:val="P0"/>
    <w:link w:val="C5"/>
    <w:semiHidden/>
    <w:qFormat/>
    <w:pPr>
      <w:keepNext w:val="1"/>
      <w:keepLines w:val="1"/>
      <w:spacing w:before="200" w:after="0" w:beforeAutospacing="0" w:afterAutospacing="0"/>
      <w:outlineLvl w:val="2"/>
    </w:pPr>
    <w:rPr>
      <w:b w:val="1"/>
      <w:color w:val="4F81BD"/>
    </w:rPr>
  </w:style>
  <w:style w:type="paragraph" w:styleId="P4">
    <w:name w:val="heading 4"/>
    <w:basedOn w:val="P0"/>
    <w:next w:val="P0"/>
    <w:link w:val="C6"/>
    <w:semiHidden/>
    <w:qFormat/>
    <w:pPr>
      <w:keepNext w:val="1"/>
      <w:keepLines w:val="1"/>
      <w:spacing w:before="200" w:after="0" w:beforeAutospacing="0" w:afterAutospacing="0"/>
      <w:outlineLvl w:val="3"/>
    </w:pPr>
    <w:rPr>
      <w:b w:val="1"/>
      <w:i w:val="1"/>
      <w:color w:val="4F81BD"/>
    </w:rPr>
  </w:style>
  <w:style w:type="paragraph" w:styleId="P5">
    <w:name w:val="heading 5"/>
    <w:basedOn w:val="P0"/>
    <w:next w:val="P0"/>
    <w:link w:val="C7"/>
    <w:semiHidden/>
    <w:qFormat/>
    <w:pPr>
      <w:keepNext w:val="1"/>
      <w:keepLines w:val="1"/>
      <w:spacing w:before="200" w:after="0" w:beforeAutospacing="0" w:afterAutospacing="0"/>
      <w:outlineLvl w:val="4"/>
    </w:pPr>
    <w:rPr>
      <w:color w:val="243F60"/>
    </w:rPr>
  </w:style>
  <w:style w:type="paragraph" w:styleId="P6">
    <w:name w:val="heading 6"/>
    <w:basedOn w:val="P0"/>
    <w:next w:val="P0"/>
    <w:link w:val="C8"/>
    <w:semiHidden/>
    <w:qFormat/>
    <w:pPr>
      <w:keepNext w:val="1"/>
      <w:keepLines w:val="1"/>
      <w:spacing w:before="200" w:after="0" w:beforeAutospacing="0" w:afterAutospacing="0"/>
      <w:outlineLvl w:val="5"/>
    </w:pPr>
    <w:rPr>
      <w:i w:val="1"/>
      <w:color w:val="243F60"/>
    </w:rPr>
  </w:style>
  <w:style w:type="paragraph" w:styleId="P7">
    <w:name w:val="heading 7"/>
    <w:basedOn w:val="P0"/>
    <w:next w:val="P0"/>
    <w:link w:val="C9"/>
    <w:semiHidden/>
    <w:qFormat/>
    <w:pPr>
      <w:keepNext w:val="1"/>
      <w:keepLines w:val="1"/>
      <w:spacing w:before="200" w:after="0" w:beforeAutospacing="0" w:afterAutospacing="0"/>
      <w:outlineLvl w:val="6"/>
    </w:pPr>
    <w:rPr>
      <w:i w:val="1"/>
      <w:color w:val="404040"/>
    </w:rPr>
  </w:style>
  <w:style w:type="paragraph" w:styleId="P8">
    <w:name w:val="heading 8"/>
    <w:basedOn w:val="P0"/>
    <w:next w:val="P0"/>
    <w:link w:val="C10"/>
    <w:semiHidden/>
    <w:qFormat/>
    <w:pPr>
      <w:keepNext w:val="1"/>
      <w:keepLines w:val="1"/>
      <w:spacing w:before="200" w:after="0" w:beforeAutospacing="0" w:afterAutospacing="0"/>
      <w:outlineLvl w:val="7"/>
    </w:pPr>
    <w:rPr>
      <w:color w:val="404040"/>
      <w:sz w:val="20"/>
    </w:rPr>
  </w:style>
  <w:style w:type="paragraph" w:styleId="P9">
    <w:name w:val="heading 9"/>
    <w:basedOn w:val="P0"/>
    <w:next w:val="P0"/>
    <w:link w:val="C11"/>
    <w:semiHidden/>
    <w:qFormat/>
    <w:pPr>
      <w:keepNext w:val="1"/>
      <w:keepLines w:val="1"/>
      <w:spacing w:before="200" w:after="0" w:beforeAutospacing="0" w:afterAutospacing="0"/>
      <w:outlineLvl w:val="8"/>
    </w:pPr>
    <w:rPr>
      <w:i w:val="1"/>
      <w:color w:val="404040"/>
      <w:sz w:val="20"/>
    </w:rPr>
  </w:style>
  <w:style w:type="paragraph" w:styleId="P10">
    <w:name w:val="caption"/>
    <w:basedOn w:val="P0"/>
    <w:next w:val="P0"/>
    <w:semiHidden/>
    <w:qFormat/>
    <w:pPr>
      <w:spacing w:lineRule="auto" w:line="240" w:beforeAutospacing="0" w:afterAutospacing="0"/>
    </w:pPr>
    <w:rPr>
      <w:b w:val="1"/>
      <w:color w:val="4F81BD"/>
      <w:sz w:val="18"/>
    </w:rPr>
  </w:style>
  <w:style w:type="paragraph" w:styleId="P11">
    <w:name w:val="Title"/>
    <w:basedOn w:val="P0"/>
    <w:next w:val="P0"/>
    <w:link w:val="C12"/>
    <w:qFormat/>
    <w:pPr>
      <w:pBdr>
        <w:top w:val="none" w:sz="0" w:space="0" w:shadow="0" w:frame="0" w:color="auto"/>
        <w:left w:val="none" w:sz="0" w:space="0" w:shadow="0" w:frame="0" w:color="auto"/>
        <w:bottom w:val="single" w:sz="8" w:space="4" w:shadow="0" w:frame="0" w:color="4F81BD"/>
        <w:right w:val="none" w:sz="0" w:space="0" w:shadow="0" w:frame="0" w:color="auto"/>
      </w:pBdr>
      <w:spacing w:lineRule="auto" w:line="240" w:after="300" w:beforeAutospacing="0" w:afterAutospacing="0"/>
      <w:contextualSpacing w:val="1"/>
    </w:pPr>
    <w:rPr>
      <w:color w:val="17365D"/>
      <w:sz w:val="52"/>
    </w:rPr>
  </w:style>
  <w:style w:type="paragraph" w:styleId="P12">
    <w:name w:val="Subtitle"/>
    <w:basedOn w:val="P0"/>
    <w:next w:val="P0"/>
    <w:link w:val="C13"/>
    <w:qFormat/>
    <w:pPr/>
    <w:rPr>
      <w:i w:val="1"/>
      <w:color w:val="4F81BD"/>
      <w:sz w:val="24"/>
    </w:rPr>
  </w:style>
  <w:style w:type="paragraph" w:styleId="P13">
    <w:name w:val="No Spacing"/>
    <w:link w:val="C16"/>
    <w:qFormat/>
    <w:pPr>
      <w:spacing w:lineRule="auto" w:line="240" w:after="0" w:beforeAutospacing="0" w:afterAutospacing="0"/>
    </w:pPr>
    <w:rPr/>
  </w:style>
  <w:style w:type="paragraph" w:styleId="P14">
    <w:name w:val="List Paragraph"/>
    <w:basedOn w:val="P0"/>
    <w:qFormat/>
    <w:pPr>
      <w:ind w:left="720"/>
      <w:contextualSpacing w:val="1"/>
    </w:pPr>
    <w:rPr/>
  </w:style>
  <w:style w:type="paragraph" w:styleId="P15">
    <w:name w:val="Quote"/>
    <w:basedOn w:val="P0"/>
    <w:next w:val="P0"/>
    <w:link w:val="C17"/>
    <w:qFormat/>
    <w:pPr/>
    <w:rPr>
      <w:i w:val="1"/>
      <w:color w:val="000000"/>
    </w:rPr>
  </w:style>
  <w:style w:type="paragraph" w:styleId="P16">
    <w:name w:val="Intense Quote"/>
    <w:basedOn w:val="P0"/>
    <w:next w:val="P0"/>
    <w:link w:val="C18"/>
    <w:qFormat/>
    <w:pPr>
      <w:pBdr>
        <w:top w:val="none" w:sz="0" w:space="0" w:shadow="0" w:frame="0" w:color="auto"/>
        <w:left w:val="none" w:sz="0" w:space="0" w:shadow="0" w:frame="0" w:color="auto"/>
        <w:bottom w:val="single" w:sz="4" w:space="4" w:shadow="0" w:frame="0" w:color="4F81BD"/>
        <w:right w:val="none" w:sz="0" w:space="0" w:shadow="0" w:frame="0" w:color="auto"/>
      </w:pBdr>
      <w:spacing w:before="200" w:after="280" w:beforeAutospacing="0" w:afterAutospacing="0"/>
      <w:ind w:left="936" w:right="936"/>
    </w:pPr>
    <w:rPr>
      <w:b w:val="1"/>
      <w:i w:val="1"/>
      <w:color w:val="4F81BD"/>
    </w:rPr>
  </w:style>
  <w:style w:type="paragraph" w:styleId="P17">
    <w:name w:val="TOC Heading"/>
    <w:basedOn w:val="P1"/>
    <w:next w:val="P0"/>
    <w:semiHidden/>
    <w:qFormat/>
    <w:pPr/>
    <w:rPr/>
  </w:style>
  <w:style w:type="paragraph" w:styleId="P18">
    <w:name w:val="header"/>
    <w:basedOn w:val="P0"/>
    <w:link w:val="C24"/>
    <w:pPr>
      <w:tabs>
        <w:tab w:val="center" w:pos="4677" w:leader="none"/>
        <w:tab w:val="right" w:pos="9355" w:leader="none"/>
      </w:tabs>
      <w:spacing w:lineRule="auto" w:line="240" w:after="0" w:beforeAutospacing="0" w:afterAutospacing="0"/>
    </w:pPr>
    <w:rPr/>
  </w:style>
  <w:style w:type="paragraph" w:styleId="P19">
    <w:name w:val="footer"/>
    <w:basedOn w:val="P0"/>
    <w:link w:val="C25"/>
    <w:pPr>
      <w:tabs>
        <w:tab w:val="center" w:pos="4677" w:leader="none"/>
        <w:tab w:val="right" w:pos="9355" w:leader="none"/>
      </w:tabs>
      <w:spacing w:lineRule="auto" w:line="240" w:after="0" w:beforeAutospacing="0" w:afterAutospacing="0"/>
    </w:pPr>
    <w:rPr/>
  </w:style>
  <w:style w:type="paragraph" w:styleId="P20">
    <w:name w:val="Normal (Web)"/>
    <w:basedOn w:val="P0"/>
    <w:pPr>
      <w:spacing w:lineRule="auto" w:line="240" w:before="100" w:after="100" w:beforeAutospacing="1" w:afterAutospacing="1"/>
    </w:pPr>
    <w:rPr>
      <w:rFonts w:ascii="Times New Roman" w:hAnsi="Times New Roman"/>
      <w:sz w:val="24"/>
    </w:rPr>
  </w:style>
  <w:style w:type="paragraph" w:styleId="P21">
    <w:name w:val="Стиль"/>
    <w:pPr>
      <w:widowControl w:val="0"/>
      <w:spacing w:lineRule="auto" w:line="240" w:after="0" w:beforeAutospacing="0" w:afterAutospacing="0"/>
    </w:pPr>
    <w:rPr>
      <w:rFonts w:ascii="Times New Roman" w:hAnsi="Times New Roman"/>
      <w:sz w:val="24"/>
    </w:rPr>
  </w:style>
  <w:style w:type="paragraph" w:styleId="P22">
    <w:name w:val="Balloon Text"/>
    <w:basedOn w:val="P0"/>
    <w:link w:val="C26"/>
    <w:semiHidden/>
    <w:pPr>
      <w:spacing w:lineRule="auto" w:line="240" w:after="0" w:beforeAutospacing="0" w:afterAutospacing="0"/>
    </w:pPr>
    <w:rPr>
      <w:rFonts w:ascii="Tahoma" w:hAnsi="Tahoma"/>
      <w:sz w:val="16"/>
    </w:rPr>
  </w:style>
  <w:style w:type="character" w:styleId="C0" w:default="1">
    <w:name w:val="Default Paragraph Font"/>
    <w:rPr/>
  </w:style>
  <w:style w:type="character" w:styleId="C1">
    <w:name w:val="Line Number"/>
    <w:basedOn w:val="C0"/>
    <w:semiHidden/>
    <w:rPr/>
  </w:style>
  <w:style w:type="character" w:styleId="C2">
    <w:name w:val="Hyperlink"/>
    <w:basedOn w:val="C0"/>
    <w:rPr>
      <w:color w:val="0000FF"/>
      <w:u w:val="single"/>
    </w:rPr>
  </w:style>
  <w:style w:type="character" w:styleId="C3">
    <w:name w:val="Заголовок 1 Знак"/>
    <w:basedOn w:val="C0"/>
    <w:link w:val="P1"/>
    <w:rPr>
      <w:b w:val="1"/>
      <w:color w:val="365F91"/>
      <w:sz w:val="28"/>
    </w:rPr>
  </w:style>
  <w:style w:type="character" w:styleId="C4">
    <w:name w:val="Заголовок 2 Знак"/>
    <w:basedOn w:val="C0"/>
    <w:link w:val="P2"/>
    <w:semiHidden/>
    <w:rPr>
      <w:b w:val="1"/>
      <w:color w:val="4F81BD"/>
      <w:sz w:val="26"/>
    </w:rPr>
  </w:style>
  <w:style w:type="character" w:styleId="C5">
    <w:name w:val="Заголовок 3 Знак"/>
    <w:basedOn w:val="C0"/>
    <w:link w:val="P3"/>
    <w:semiHidden/>
    <w:rPr>
      <w:b w:val="1"/>
      <w:color w:val="4F81BD"/>
    </w:rPr>
  </w:style>
  <w:style w:type="character" w:styleId="C6">
    <w:name w:val="Заголовок 4 Знак"/>
    <w:basedOn w:val="C0"/>
    <w:link w:val="P4"/>
    <w:semiHidden/>
    <w:rPr>
      <w:b w:val="1"/>
      <w:i w:val="1"/>
      <w:color w:val="4F81BD"/>
    </w:rPr>
  </w:style>
  <w:style w:type="character" w:styleId="C7">
    <w:name w:val="Заголовок 5 Знак"/>
    <w:basedOn w:val="C0"/>
    <w:link w:val="P5"/>
    <w:semiHidden/>
    <w:rPr>
      <w:color w:val="243F60"/>
    </w:rPr>
  </w:style>
  <w:style w:type="character" w:styleId="C8">
    <w:name w:val="Заголовок 6 Знак"/>
    <w:basedOn w:val="C0"/>
    <w:link w:val="P6"/>
    <w:semiHidden/>
    <w:rPr>
      <w:i w:val="1"/>
      <w:color w:val="243F60"/>
    </w:rPr>
  </w:style>
  <w:style w:type="character" w:styleId="C9">
    <w:name w:val="Заголовок 7 Знак"/>
    <w:basedOn w:val="C0"/>
    <w:link w:val="P7"/>
    <w:semiHidden/>
    <w:rPr>
      <w:i w:val="1"/>
      <w:color w:val="404040"/>
    </w:rPr>
  </w:style>
  <w:style w:type="character" w:styleId="C10">
    <w:name w:val="Заголовок 8 Знак"/>
    <w:basedOn w:val="C0"/>
    <w:link w:val="P8"/>
    <w:semiHidden/>
    <w:rPr>
      <w:color w:val="404040"/>
      <w:sz w:val="20"/>
    </w:rPr>
  </w:style>
  <w:style w:type="character" w:styleId="C11">
    <w:name w:val="Заголовок 9 Знак"/>
    <w:basedOn w:val="C0"/>
    <w:link w:val="P9"/>
    <w:semiHidden/>
    <w:rPr>
      <w:i w:val="1"/>
      <w:color w:val="404040"/>
      <w:sz w:val="20"/>
    </w:rPr>
  </w:style>
  <w:style w:type="character" w:styleId="C12">
    <w:name w:val="Название Знак"/>
    <w:basedOn w:val="C0"/>
    <w:link w:val="P11"/>
    <w:rPr>
      <w:color w:val="17365D"/>
      <w:sz w:val="52"/>
    </w:rPr>
  </w:style>
  <w:style w:type="character" w:styleId="C13">
    <w:name w:val="Подзаголовок Знак"/>
    <w:basedOn w:val="C0"/>
    <w:link w:val="P12"/>
    <w:rPr>
      <w:i w:val="1"/>
      <w:color w:val="4F81BD"/>
      <w:sz w:val="24"/>
    </w:rPr>
  </w:style>
  <w:style w:type="character" w:styleId="C14">
    <w:name w:val="Strong"/>
    <w:basedOn w:val="C0"/>
    <w:qFormat/>
    <w:rPr>
      <w:b w:val="1"/>
    </w:rPr>
  </w:style>
  <w:style w:type="character" w:styleId="C15">
    <w:name w:val="Emphasis"/>
    <w:basedOn w:val="C0"/>
    <w:qFormat/>
    <w:rPr>
      <w:i w:val="1"/>
    </w:rPr>
  </w:style>
  <w:style w:type="character" w:styleId="C16">
    <w:name w:val="Без интервала Знак"/>
    <w:basedOn w:val="C0"/>
    <w:link w:val="P13"/>
    <w:rPr/>
  </w:style>
  <w:style w:type="character" w:styleId="C17">
    <w:name w:val="Цитата 2 Знак"/>
    <w:basedOn w:val="C0"/>
    <w:link w:val="P15"/>
    <w:rPr>
      <w:i w:val="1"/>
      <w:color w:val="000000"/>
    </w:rPr>
  </w:style>
  <w:style w:type="character" w:styleId="C18">
    <w:name w:val="Выделенная цитата Знак"/>
    <w:basedOn w:val="C0"/>
    <w:link w:val="P16"/>
    <w:rPr>
      <w:b w:val="1"/>
      <w:i w:val="1"/>
      <w:color w:val="4F81BD"/>
    </w:rPr>
  </w:style>
  <w:style w:type="character" w:styleId="C19">
    <w:name w:val="Subtle Emphasis"/>
    <w:basedOn w:val="C0"/>
    <w:qFormat/>
    <w:rPr>
      <w:i w:val="1"/>
      <w:color w:val="808080"/>
    </w:rPr>
  </w:style>
  <w:style w:type="character" w:styleId="C20">
    <w:name w:val="Intense Emphasis"/>
    <w:basedOn w:val="C0"/>
    <w:qFormat/>
    <w:rPr>
      <w:b w:val="1"/>
      <w:i w:val="1"/>
      <w:color w:val="4F81BD"/>
    </w:rPr>
  </w:style>
  <w:style w:type="character" w:styleId="C21">
    <w:name w:val="Subtle Reference"/>
    <w:basedOn w:val="C0"/>
    <w:qFormat/>
    <w:rPr>
      <w:color w:val="C0504D"/>
      <w:u w:val="single"/>
    </w:rPr>
  </w:style>
  <w:style w:type="character" w:styleId="C22">
    <w:name w:val="Intense Reference"/>
    <w:basedOn w:val="C0"/>
    <w:qFormat/>
    <w:rPr>
      <w:b w:val="1"/>
      <w:color w:val="C0504D"/>
      <w:u w:val="single"/>
    </w:rPr>
  </w:style>
  <w:style w:type="character" w:styleId="C23">
    <w:name w:val="Book Title"/>
    <w:basedOn w:val="C0"/>
    <w:qFormat/>
    <w:rPr>
      <w:b w:val="1"/>
    </w:rPr>
  </w:style>
  <w:style w:type="character" w:styleId="C24">
    <w:name w:val="Верхний колонтитул Знак"/>
    <w:basedOn w:val="C0"/>
    <w:link w:val="P18"/>
    <w:rPr/>
  </w:style>
  <w:style w:type="character" w:styleId="C25">
    <w:name w:val="Нижний колонтитул Знак"/>
    <w:basedOn w:val="C0"/>
    <w:link w:val="P19"/>
    <w:rPr/>
  </w:style>
  <w:style w:type="character" w:styleId="C26">
    <w:name w:val="Текст выноски Знак"/>
    <w:basedOn w:val="C0"/>
    <w:link w:val="P22"/>
    <w:semiHidden/>
    <w:rPr>
      <w:rFonts w:ascii="Tahoma" w:hAnsi="Tahoma"/>
      <w:sz w:val="16"/>
    </w:rPr>
  </w:style>
  <w:style w:type="character" w:styleId="C27">
    <w:name w:val="tlid-translation"/>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6" Type="http://schemas.openxmlformats.org/officeDocument/2006/relationships/image" Target="/media/image6.wmf" /><Relationship Id="Relimage7" Type="http://schemas.openxmlformats.org/officeDocument/2006/relationships/image" Target="/media/image7.wmf" /><Relationship Id="Relimage3" Type="http://schemas.openxmlformats.org/officeDocument/2006/relationships/image" Target="/media/image3.wmf" /><Relationship Id="Relimage2" Type="http://schemas.openxmlformats.org/officeDocument/2006/relationships/image" Target="/media/image2.wmf" /><Relationship Id="Relimage4" Type="http://schemas.openxmlformats.org/officeDocument/2006/relationships/image" Target="/media/image4.wmf" /><Relationship Id="Relimage1" Type="http://schemas.openxmlformats.org/officeDocument/2006/relationships/image" Target="/media/image1.wmf" /><Relationship Id="Relimage8" Type="http://schemas.openxmlformats.org/officeDocument/2006/relationships/image" Target="/media/image8.wmf" /><Relationship Id="Relimage9" Type="http://schemas.openxmlformats.org/officeDocument/2006/relationships/image" Target="/media/image9.png" /><Relationship Id="Relimage5" Type="http://schemas.openxmlformats.org/officeDocument/2006/relationships/image" Target="/media/image5.wmf" /><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