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30A0A98B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ЕНЕРГЕТИЧНІ ВИТРАТИ  У ЦУКРОВОМУ ВИРОБНИЦТВІ</w:t>
      </w:r>
    </w:p>
    <w:p>
      <w:pPr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ENERGY COSTS IN SUGAR PRODUCTION</w:t>
      </w:r>
    </w:p>
    <w:p>
      <w:pPr>
        <w:tabs>
          <w:tab w:val="left" w:pos="9631" w:leader="none"/>
        </w:tabs>
        <w:spacing w:lineRule="auto" w:line="240" w:after="0" w:beforeAutospacing="0" w:afterAutospacing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Наукові керівники — кафедра теоретичної загальної та нетрадиційної енергетики, </w:t>
      </w:r>
    </w:p>
    <w:p>
      <w:pPr>
        <w:tabs>
          <w:tab w:val="left" w:pos="9631" w:leader="none"/>
        </w:tabs>
        <w:spacing w:lineRule="auto" w:line="240" w:after="0" w:beforeAutospacing="0" w:afterAutospacing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доктор технічних наук, професор Никульшин В.Р., кандидат технічних наук, </w:t>
      </w:r>
    </w:p>
    <w:p>
      <w:pPr>
        <w:tabs>
          <w:tab w:val="left" w:pos="9631" w:leader="none"/>
        </w:tabs>
        <w:spacing w:lineRule="auto" w:line="240" w:after="0" w:beforeAutospacing="0" w:afterAutospacing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ст. викладач Мельнік С.І., кафедра теплових електростанцій та енергозберігаючих технологій, доктор технічних наук, професор Денисова А.Є.;</w:t>
      </w:r>
    </w:p>
    <w:p>
      <w:pPr>
        <w:pStyle w:val="P2"/>
        <w:widowControl w:val="0"/>
        <w:spacing w:before="0" w:after="0" w:beforeAutospacing="0" w:afterAutospacing="0"/>
        <w:jc w:val="center"/>
      </w:pPr>
      <w:r>
        <w:rPr>
          <w:color w:val="000000"/>
        </w:rPr>
        <w:t xml:space="preserve">магістри — </w:t>
      </w:r>
      <w:r>
        <w:t>Борнисевич О.С., Новотний В.О.</w:t>
      </w:r>
    </w:p>
    <w:p>
      <w:pPr>
        <w:tabs>
          <w:tab w:val="left" w:pos="9631" w:leader="none"/>
        </w:tabs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tabs>
          <w:tab w:val="left" w:pos="9631" w:leader="none"/>
        </w:tabs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Научные руководители — кафедра теоретической общей и нетрадиционной энергетики,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доктор технических наук, профессор Никульшин В.Р.; кандидат технических наук, </w:t>
      </w:r>
    </w:p>
    <w:p>
      <w:pPr>
        <w:tabs>
          <w:tab w:val="left" w:pos="9631" w:leader="none"/>
        </w:tabs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ст. преподаватель Мельник С.И.; кафедра тепловых электростанций и энергосберегающих технологий, доктор технических наук, профессор Денисова А.Е.;</w:t>
      </w:r>
    </w:p>
    <w:p>
      <w:pPr>
        <w:pStyle w:val="P2"/>
        <w:widowControl w:val="0"/>
        <w:spacing w:before="0" w:after="0" w:beforeAutospacing="0" w:afterAutospacing="0"/>
        <w:jc w:val="center"/>
      </w:pPr>
      <w:r>
        <w:t>магистры — Борнисевич А.С., Новотний В.А.</w:t>
      </w:r>
    </w:p>
    <w:p>
      <w:pPr>
        <w:pStyle w:val="P5"/>
        <w:spacing w:lineRule="auto" w:line="276" w:beforeAutospacing="0" w:afterAutospacing="0"/>
        <w:jc w:val="center"/>
        <w:rPr>
          <w:sz w:val="24"/>
        </w:rPr>
      </w:pPr>
    </w:p>
    <w:p>
      <w:pPr>
        <w:pStyle w:val="P5"/>
        <w:spacing w:lineRule="auto" w:line="276" w:beforeAutospacing="0" w:afterAutospac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Supervisors — Department of Theoretical General and Non-conventional Power Engineering, Doctor of Technical Sciences, Professor Nikulshin V.R.; PhD, Senior Lecturer Melnik S.I.; </w:t>
      </w:r>
    </w:p>
    <w:p>
      <w:pPr>
        <w:pStyle w:val="P2"/>
        <w:widowControl w:val="0"/>
        <w:spacing w:before="0" w:after="0" w:beforeAutospacing="0" w:afterAutospacing="0"/>
        <w:jc w:val="center"/>
        <w:rPr>
          <w:b w:val="1"/>
          <w:color w:val="000000"/>
          <w:sz w:val="28"/>
        </w:rPr>
      </w:pPr>
      <w:r>
        <w:t>Department of Thermal Power Plants and Energy-Saving Technologies, Doctor of Technical Sciences, Professor Denisova A.E.; мasters students — Bornishevich A.C., Novotny V.A.</w:t>
      </w:r>
    </w:p>
    <w:p>
      <w:pPr>
        <w:tabs>
          <w:tab w:val="left" w:pos="9631" w:leader="none"/>
        </w:tabs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pStyle w:val="P5"/>
        <w:spacing w:lineRule="auto" w:line="240" w:beforeAutospacing="0" w:afterAutospacing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Анотація.</w:t>
      </w:r>
      <w:r>
        <w:rPr>
          <w:rFonts w:ascii="Times New Roman" w:hAnsi="Times New Roman"/>
          <w:sz w:val="24"/>
        </w:rPr>
        <w:t xml:space="preserve"> Наведені енергетичні витрати </w:t>
      </w:r>
      <w:r>
        <w:rPr>
          <w:rFonts w:ascii="Times New Roman" w:hAnsi="Times New Roman"/>
          <w:sz w:val="24"/>
          <w:shd w:val="clear" w:fill="FFFFFF"/>
        </w:rPr>
        <w:t>сахарного виробництва</w:t>
      </w:r>
      <w:r>
        <w:rPr>
          <w:rFonts w:ascii="Times New Roman" w:hAnsi="Times New Roman"/>
          <w:sz w:val="24"/>
        </w:rPr>
        <w:t>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Аннотация.</w:t>
      </w:r>
      <w:r>
        <w:rPr>
          <w:rFonts w:ascii="Times New Roman" w:hAnsi="Times New Roman"/>
          <w:sz w:val="24"/>
        </w:rPr>
        <w:t xml:space="preserve">  Приведены энергетические потери сахарного производства.</w:t>
      </w:r>
    </w:p>
    <w:p>
      <w:pPr>
        <w:pStyle w:val="P1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Abstract.</w:t>
      </w:r>
      <w:r>
        <w:rPr>
          <w:rFonts w:ascii="Times New Roman" w:hAnsi="Times New Roman"/>
          <w:sz w:val="24"/>
        </w:rPr>
        <w:t xml:space="preserve"> The energy losses of sugar production are given.</w:t>
      </w:r>
    </w:p>
    <w:p>
      <w:pPr>
        <w:pStyle w:val="P10"/>
        <w:jc w:val="both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Ключові слова: </w:t>
      </w:r>
      <w:r>
        <w:rPr>
          <w:rFonts w:ascii="Times New Roman" w:hAnsi="Times New Roman"/>
          <w:sz w:val="24"/>
        </w:rPr>
        <w:t>виробництво цукру; термоекономіка; оптимізація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Ключевые слова: </w:t>
      </w:r>
      <w:r>
        <w:rPr>
          <w:rFonts w:ascii="Times New Roman" w:hAnsi="Times New Roman"/>
          <w:sz w:val="24"/>
        </w:rPr>
        <w:t xml:space="preserve"> производство сахара, термоэкономика; оптимизация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Key words:</w:t>
      </w:r>
      <w:r>
        <w:rPr>
          <w:rFonts w:ascii="Times New Roman" w:hAnsi="Times New Roman"/>
          <w:sz w:val="24"/>
        </w:rPr>
        <w:t xml:space="preserve"> sugar production; thermoeconomics; optimization</w:t>
      </w:r>
    </w:p>
    <w:p>
      <w:pPr>
        <w:jc w:val="center"/>
        <w:rPr>
          <w:rFonts w:ascii="Times New Roman" w:hAnsi="Times New Roman"/>
          <w:b w:val="1"/>
          <w:sz w:val="28"/>
        </w:rPr>
      </w:pP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hd w:val="clear" w:fill="FFFFFF"/>
        </w:rPr>
        <w:t>Енергоспоживання в цукровому виробництві йде, в основному, у вигляді теплоти на проведення технологічних процесів: випаровування води з соку, уварювання утфелю, нагрів стружки для проведення дифузійного процесу, нагрівання соків в процесі очищення, а також на компенсацію втрат теплоти.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Основна кількість теплоти (практично 3/4) вводиться в технологічний процес з гріючою парою з ТЕЦ.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hd w:val="clear" w:fill="E6ECF9"/>
        </w:rPr>
        <w:t>Теплота реакції вапна з вуглекислим газом, є частиною теплоти палива, витраченого в ТЕЦ на виробництво електроенергії і в вапняно-обпалювальної печі при виробництві вапна і сатураційного газу.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 втрат теплоти найбільшими є втрати з парою, яка направляється в конденсатори з вакуум-апаратів і останнього корпусу випарної установки.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Дуже істотні також втрати теплоти через зовнішні поверхні обладнання і трубопроводів, а також з конденсатом, який направляється в збірник надлишкових конденсатів (аміачний ящик) і, практично, невживаних в технологічному процесі.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 той же час повернення конденсату в ТЕЦ не є прямими втратами теплоти для комплексу цукровий завод - ТЕЦ, тому що його теплота використовується при виробленні пари в парогенераторах.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Слід зазначити, що даний розподіл приходу теплоти і, особливо, величини статей його витрати є усередненими. Залежно від конкретних умов роботи заводу окремі статті витрат можуть істотно змінюватися</w:t>
      </w:r>
      <w:r>
        <w:rPr>
          <w:rFonts w:ascii="Times New Roman" w:hAnsi="Times New Roman"/>
          <w:sz w:val="24"/>
          <w:shd w:val="clear" w:fill="FFFFFF"/>
        </w:rPr>
        <w:t xml:space="preserve">.  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Так, при роботі з рідкими сиропами має велике значення, чи можуть зрости втрати теплоти з парою, які направляються в конденсатори.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Погіршення теплової ізоляції і зниження продуктивності заводу призводить до збільшення частки втрат теплоти від зовнішніх поверхонь обладнання і трубопроводів.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Зміна температурного режиму технологічних процесів також буде змінювати величини тепловтрат в навколишнє середовище.</w:t>
      </w:r>
    </w:p>
    <w:p>
      <w:pPr>
        <w:spacing w:lineRule="auto" w:line="276" w:beforeAutospacing="0" w:afterAutospacing="0"/>
        <w:ind w:firstLine="567"/>
        <w:rPr>
          <w:rFonts w:ascii="Times New Roman" w:hAnsi="Times New Roman"/>
          <w:sz w:val="27"/>
        </w:rPr>
      </w:pPr>
      <w:r>
        <w:rPr>
          <w:rFonts w:ascii="Calibri" w:hAnsi="Calibri"/>
        </w:rPr>
        <w:t> </w:t>
      </w:r>
    </w:p>
    <w:sectPr>
      <w:headerReference xmlns:r="http://schemas.openxmlformats.org/officeDocument/2006/relationships" w:type="default" r:id="RelHdr1"/>
      <w:footerReference xmlns:r="http://schemas.openxmlformats.org/officeDocument/2006/relationships" w:type="default" r:id="RelFtr1"/>
      <w:type w:val="nextPage"/>
      <w:pgSz w:w="11906" w:h="16838" w:code="9"/>
      <w:pgMar w:left="1134" w:right="1134" w:top="1134" w:bottom="1134" w:header="709" w:footer="709" w:gutter="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jc w:val="center"/>
    </w:pPr>
    <w:r>
      <w:fldChar w:fldCharType="begin"/>
    </w:r>
    <w:r>
      <w:instrText xml:space="preserve"> PAGE </w:instrText>
    </w:r>
    <w:r>
      <w:fldChar w:fldCharType="separate"/>
    </w:r>
    <w:r>
      <w:t>#</w:t>
    </w:r>
    <w:r>
      <w:fldChar w:fldCharType="end"/>
    </w: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tabs>
        <w:tab w:val="left" w:pos="690" w:leader="none"/>
        <w:tab w:val="center" w:pos="4677" w:leader="none"/>
        <w:tab w:val="right" w:pos="9355" w:leader="none"/>
      </w:tabs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Тези доповідей 57-ої конференції молодих дослідників «Сучасні інформаційні технології та телекомунікаційні мережі» //Одеса: НУОП, 2022, вип. 57</w:t>
    </w:r>
  </w:p>
  <w:p>
    <w:pPr>
      <w:pStyle w:val="P8"/>
    </w:pPr>
  </w:p>
</w:hdr>
</file>

<file path=word/numbering.xml><?xml version="1.0" encoding="utf-8"?>
<w:numbering xmlns:w="http://schemas.openxmlformats.org/wordprocessingml/2006/main">
  <w:abstractNum w:abstractNumId="0">
    <w:nsid w:val="20E80DC5"/>
    <w:multiLevelType w:val="hybridMultilevel"/>
    <w:lvl w:ilvl="0" w:tplc="A22AC36A">
      <w:start w:val="51"/>
      <w:numFmt w:val="decimal"/>
      <w:suff w:val="tab"/>
      <w:lvlText w:val="%1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">
    <w:nsid w:val="38CD6081"/>
    <w:multiLevelType w:val="hybridMultilevel"/>
    <w:lvl w:ilvl="0" w:tplc="A7D414D0">
      <w:start w:val="109"/>
      <w:numFmt w:val="decimal"/>
      <w:suff w:val="tab"/>
      <w:lvlText w:val="%1"/>
      <w:lvlJc w:val="left"/>
      <w:pPr>
        <w:ind w:hanging="450" w:left="81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">
    <w:nsid w:val="42766856"/>
    <w:multiLevelType w:val="hybridMultilevel"/>
    <w:lvl w:ilvl="0" w:tplc="3318714E">
      <w:start w:val="1"/>
      <w:numFmt w:val="decimal"/>
      <w:suff w:val="tab"/>
      <w:lvlText w:val="%1."/>
      <w:lvlJc w:val="left"/>
      <w:pPr>
        <w:ind w:hanging="360" w:left="720"/>
      </w:pPr>
      <w:rPr>
        <w:color w:val="auto"/>
        <w:sz w:val="20"/>
      </w:rPr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">
    <w:nsid w:val="73BA7176"/>
    <w:multiLevelType w:val="hybridMultilevel"/>
    <w:lvl w:ilvl="0" w:tplc="B14C397E">
      <w:start w:val="51"/>
      <w:numFmt w:val="decimal"/>
      <w:suff w:val="tab"/>
      <w:lvlText w:val="%1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4">
    <w:nsid w:val="74D553E2"/>
    <w:multiLevelType w:val="hybridMultilevel"/>
    <w:lvl w:ilvl="0" w:tplc="1AF8E4EA">
      <w:start w:val="57"/>
      <w:numFmt w:val="decimal"/>
      <w:suff w:val="tab"/>
      <w:lvlText w:val="%1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59" w:after="160" w:beforeAutospacing="0" w:afterAutospacing="0"/>
    </w:pPr>
    <w:rPr/>
  </w:style>
  <w:style w:type="paragraph" w:styleId="P1">
    <w:name w:val="caption"/>
    <w:basedOn w:val="P0"/>
    <w:next w:val="P0"/>
    <w:qFormat/>
    <w:pPr>
      <w:spacing w:lineRule="auto" w:line="240" w:after="200" w:beforeAutospacing="0" w:afterAutospacing="0"/>
    </w:pPr>
    <w:rPr>
      <w:i w:val="1"/>
      <w:color w:val="1F497D"/>
      <w:sz w:val="18"/>
    </w:rPr>
  </w:style>
  <w:style w:type="paragraph" w:styleId="P2">
    <w:name w:val="Normal (Web)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3">
    <w:name w:val="АВТОРЫ СТАТЬИ"/>
    <w:basedOn w:val="P0"/>
    <w:pPr>
      <w:spacing w:lineRule="auto" w:line="360" w:after="0" w:beforeAutospacing="0" w:afterAutospacing="0"/>
      <w:ind w:firstLine="709"/>
      <w:jc w:val="both"/>
    </w:pPr>
    <w:rPr>
      <w:rFonts w:ascii="Times New Roman" w:hAnsi="Times New Roman"/>
      <w:b w:val="1"/>
      <w:sz w:val="28"/>
    </w:rPr>
  </w:style>
  <w:style w:type="paragraph" w:styleId="P4">
    <w:name w:val="List Paragraph"/>
    <w:basedOn w:val="P0"/>
    <w:qFormat/>
    <w:pPr>
      <w:ind w:left="720"/>
      <w:contextualSpacing w:val="1"/>
    </w:pPr>
    <w:rPr/>
  </w:style>
  <w:style w:type="paragraph" w:styleId="P5">
    <w:name w:val="Body Text"/>
    <w:basedOn w:val="P0"/>
    <w:link w:val="C5"/>
    <w:pPr>
      <w:widowControl w:val="0"/>
      <w:shd w:val="clear" w:fill="FFFFFF"/>
      <w:spacing w:lineRule="exact" w:line="346" w:after="0" w:beforeAutospacing="0" w:afterAutospacing="0"/>
      <w:jc w:val="both"/>
    </w:pPr>
    <w:rPr/>
  </w:style>
  <w:style w:type="paragraph" w:styleId="P6">
    <w:name w:val="Default"/>
    <w:qFormat/>
    <w:pPr>
      <w:spacing w:lineRule="auto" w:line="240" w:after="0" w:beforeAutospacing="0" w:afterAutospacing="0"/>
    </w:pPr>
    <w:rPr>
      <w:rFonts w:ascii="Times New Roman" w:hAnsi="Times New Roman"/>
      <w:color w:val="000000"/>
      <w:sz w:val="24"/>
    </w:rPr>
  </w:style>
  <w:style w:type="paragraph" w:styleId="P7">
    <w:name w:val="Balloon Text"/>
    <w:basedOn w:val="P0"/>
    <w:link w:val="C8"/>
    <w:semiHidden/>
    <w:pPr>
      <w:spacing w:lineRule="auto" w:line="240" w:after="0" w:beforeAutospacing="0" w:afterAutospacing="0"/>
    </w:pPr>
    <w:rPr>
      <w:rFonts w:ascii="Tahoma" w:hAnsi="Tahoma"/>
      <w:sz w:val="16"/>
    </w:rPr>
  </w:style>
  <w:style w:type="paragraph" w:styleId="P8">
    <w:name w:val="header"/>
    <w:basedOn w:val="P0"/>
    <w:link w:val="C9"/>
    <w:pPr>
      <w:tabs>
        <w:tab w:val="center" w:pos="4677" w:leader="none"/>
        <w:tab w:val="right" w:pos="9355" w:leader="none"/>
      </w:tabs>
      <w:spacing w:lineRule="auto" w:line="240" w:after="0" w:beforeAutospacing="0" w:afterAutospacing="0"/>
    </w:pPr>
    <w:rPr/>
  </w:style>
  <w:style w:type="paragraph" w:styleId="P9">
    <w:name w:val="footer"/>
    <w:basedOn w:val="P0"/>
    <w:link w:val="C10"/>
    <w:pPr>
      <w:tabs>
        <w:tab w:val="center" w:pos="4677" w:leader="none"/>
        <w:tab w:val="right" w:pos="9355" w:leader="none"/>
      </w:tabs>
      <w:spacing w:lineRule="auto" w:line="240" w:after="0" w:beforeAutospacing="0" w:afterAutospacing="0"/>
    </w:pPr>
    <w:rPr/>
  </w:style>
  <w:style w:type="paragraph" w:styleId="P10">
    <w:name w:val="HTML Preformatted"/>
    <w:basedOn w:val="P0"/>
    <w:link w:val="C11"/>
    <w:semiHidden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after="0" w:beforeAutospacing="0" w:afterAutospacing="0"/>
    </w:pPr>
    <w:rPr>
      <w:rFonts w:ascii="Courier New" w:hAnsi="Courier New"/>
      <w:sz w:val="2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rPr>
      <w:color w:val="0000FF"/>
      <w:u w:val="single"/>
    </w:rPr>
  </w:style>
  <w:style w:type="character" w:styleId="C3">
    <w:name w:val="notranslate"/>
    <w:basedOn w:val="C0"/>
    <w:rPr/>
  </w:style>
  <w:style w:type="character" w:styleId="C4">
    <w:name w:val="Placeholder Text"/>
    <w:basedOn w:val="C0"/>
    <w:semiHidden/>
    <w:rPr>
      <w:color w:val="808080"/>
    </w:rPr>
  </w:style>
  <w:style w:type="character" w:styleId="C5">
    <w:name w:val="Основной текст Знак1"/>
    <w:link w:val="P5"/>
    <w:rPr/>
  </w:style>
  <w:style w:type="character" w:styleId="C6">
    <w:name w:val="Основной текст Знак"/>
    <w:basedOn w:val="C0"/>
    <w:semiHidden/>
    <w:rPr/>
  </w:style>
  <w:style w:type="character" w:styleId="C7">
    <w:name w:val="jlqj4b"/>
    <w:basedOn w:val="C0"/>
    <w:rPr/>
  </w:style>
  <w:style w:type="character" w:styleId="C8">
    <w:name w:val="Текст выноски Знак"/>
    <w:basedOn w:val="C0"/>
    <w:link w:val="P7"/>
    <w:semiHidden/>
    <w:rPr>
      <w:rFonts w:ascii="Tahoma" w:hAnsi="Tahoma"/>
      <w:sz w:val="16"/>
    </w:rPr>
  </w:style>
  <w:style w:type="character" w:styleId="C9">
    <w:name w:val="Верхний колонтитул Знак"/>
    <w:basedOn w:val="C0"/>
    <w:link w:val="P8"/>
    <w:rPr/>
  </w:style>
  <w:style w:type="character" w:styleId="C10">
    <w:name w:val="Нижний колонтитул Знак"/>
    <w:basedOn w:val="C0"/>
    <w:link w:val="P9"/>
    <w:rPr/>
  </w:style>
  <w:style w:type="character" w:styleId="C11">
    <w:name w:val="Стандартный HTML Знак"/>
    <w:basedOn w:val="C0"/>
    <w:link w:val="P10"/>
    <w:semiHidden/>
    <w:rPr>
      <w:rFonts w:ascii="Courier New" w:hAnsi="Courier New"/>
      <w:sz w:val="20"/>
    </w:rPr>
  </w:style>
  <w:style w:type="character" w:styleId="C12">
    <w:name w:val="y2iqfc"/>
    <w:basedOn w:val="C0"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Hdr1" Type="http://schemas.openxmlformats.org/officeDocument/2006/relationships/header" Target="header1.xml" /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