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101DD1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center"/>
        <w:rPr>
          <w:rFonts w:ascii="Times New Roman" w:hAnsi="Times New Roman"/>
          <w:b w:val="1"/>
          <w:caps w:val="1"/>
          <w:sz w:val="28"/>
        </w:rPr>
      </w:pPr>
    </w:p>
    <w:p>
      <w:pPr>
        <w:spacing w:lineRule="auto" w:line="240" w:after="0" w:beforeAutospacing="0" w:afterAutospacing="0"/>
        <w:jc w:val="center"/>
        <w:rPr>
          <w:rFonts w:ascii="Times New Roman" w:hAnsi="Times New Roman"/>
          <w:b w:val="1"/>
          <w:caps w:val="1"/>
          <w:sz w:val="28"/>
        </w:rPr>
      </w:pPr>
      <w:r>
        <w:rPr>
          <w:rFonts w:ascii="Times New Roman" w:hAnsi="Times New Roman"/>
          <w:b w:val="1"/>
          <w:caps w:val="1"/>
          <w:sz w:val="28"/>
        </w:rPr>
        <w:t xml:space="preserve">ТРИВАЛІСТЬ  КОРИСНОЇ РОБОТИ сонячних колекторів ПРИ ЗАДАНІЙ РОБОЧІЙ ТЕМПЕРАТУРІ</w:t>
      </w:r>
    </w:p>
    <w:p>
      <w:pPr>
        <w:spacing w:lineRule="auto" w:line="240" w:after="0" w:beforeAutospacing="0" w:afterAutospacing="0"/>
        <w:jc w:val="center"/>
        <w:rPr>
          <w:rFonts w:ascii="Times New Roman" w:hAnsi="Times New Roman"/>
          <w:b w:val="1"/>
          <w:caps w:val="1"/>
          <w:sz w:val="28"/>
        </w:rPr>
      </w:pPr>
      <w:r>
        <w:rPr>
          <w:rFonts w:ascii="Times New Roman" w:hAnsi="Times New Roman"/>
          <w:b w:val="1"/>
          <w:caps w:val="1"/>
          <w:sz w:val="28"/>
        </w:rPr>
        <w:t>The duration of useful work of solar collectors at a given operating temperature</w:t>
      </w:r>
    </w:p>
    <w:p>
      <w:pPr>
        <w:spacing w:lineRule="auto" w:line="240" w:after="0" w:beforeAutospacing="0" w:afterAutospacing="0"/>
        <w:jc w:val="center"/>
        <w:rPr>
          <w:rFonts w:ascii="Times New Roman" w:hAnsi="Times New Roman"/>
          <w:b w:val="1"/>
          <w:caps w:val="1"/>
          <w:sz w:val="28"/>
        </w:rPr>
      </w:pPr>
    </w:p>
    <w:p>
      <w:pPr>
        <w:tabs>
          <w:tab w:val="left" w:pos="9631" w:leader="none"/>
        </w:tabs>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 xml:space="preserve">Наукові керівники — кафедра теоретичної загальної та нетрадиційної енергетики, </w:t>
      </w:r>
    </w:p>
    <w:p>
      <w:pPr>
        <w:tabs>
          <w:tab w:val="left" w:pos="9631" w:leader="none"/>
        </w:tabs>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доктор технічних наук, професор Никульшин В.</w:t>
      </w:r>
      <w:r>
        <w:rPr>
          <w:rFonts w:ascii="Times New Roman" w:hAnsi="Times New Roman"/>
          <w:color w:val="000000"/>
          <w:sz w:val="24"/>
        </w:rPr>
        <w:t xml:space="preserve"> </w:t>
      </w:r>
      <w:r>
        <w:rPr>
          <w:rFonts w:ascii="Times New Roman" w:hAnsi="Times New Roman"/>
          <w:color w:val="000000"/>
          <w:sz w:val="24"/>
        </w:rPr>
        <w:t xml:space="preserve">Р., кандидат технічних наук, </w:t>
      </w:r>
    </w:p>
    <w:p>
      <w:pPr>
        <w:tabs>
          <w:tab w:val="left" w:pos="9631" w:leader="none"/>
        </w:tabs>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 xml:space="preserve">доцент  Височин В.</w:t>
      </w:r>
      <w:r>
        <w:rPr>
          <w:rFonts w:ascii="Times New Roman" w:hAnsi="Times New Roman"/>
          <w:color w:val="000000"/>
          <w:sz w:val="24"/>
        </w:rPr>
        <w:t xml:space="preserve"> </w:t>
      </w:r>
      <w:r>
        <w:rPr>
          <w:rFonts w:ascii="Times New Roman" w:hAnsi="Times New Roman"/>
          <w:color w:val="000000"/>
          <w:sz w:val="24"/>
        </w:rPr>
        <w:t>В., кафедра теплових електростанцій та енергозберігаючих технологій, доктор технічних наук, професор Денисова А.</w:t>
      </w:r>
      <w:r>
        <w:rPr>
          <w:rFonts w:ascii="Times New Roman" w:hAnsi="Times New Roman"/>
          <w:color w:val="000000"/>
          <w:sz w:val="24"/>
        </w:rPr>
        <w:t xml:space="preserve"> </w:t>
      </w:r>
      <w:r>
        <w:rPr>
          <w:rFonts w:ascii="Times New Roman" w:hAnsi="Times New Roman"/>
          <w:color w:val="000000"/>
          <w:sz w:val="24"/>
        </w:rPr>
        <w:t>Є.;</w:t>
      </w:r>
    </w:p>
    <w:p>
      <w:pPr>
        <w:pStyle w:val="P2"/>
        <w:widowControl w:val="0"/>
        <w:spacing w:before="0" w:after="0" w:beforeAutospacing="0" w:afterAutospacing="0"/>
        <w:jc w:val="center"/>
      </w:pPr>
      <w:r>
        <w:rPr>
          <w:color w:val="000000"/>
        </w:rPr>
        <w:t>магістри — Стопневич А.</w:t>
      </w:r>
      <w:r>
        <w:rPr>
          <w:color w:val="000000"/>
        </w:rPr>
        <w:t xml:space="preserve"> </w:t>
      </w:r>
      <w:r>
        <w:rPr>
          <w:color w:val="000000"/>
        </w:rPr>
        <w:t>О</w:t>
      </w:r>
      <w:r>
        <w:t>., Баланчук В</w:t>
      </w:r>
      <w:r>
        <w:t>.</w:t>
      </w:r>
      <w:r>
        <w:t xml:space="preserve"> </w:t>
      </w:r>
      <w:r>
        <w:t>С.</w:t>
      </w:r>
    </w:p>
    <w:p>
      <w:pPr>
        <w:tabs>
          <w:tab w:val="left" w:pos="9631" w:leader="none"/>
        </w:tabs>
        <w:spacing w:lineRule="auto" w:line="240" w:after="0" w:beforeAutospacing="0" w:afterAutospacing="0"/>
        <w:jc w:val="center"/>
        <w:rPr>
          <w:rFonts w:ascii="Times New Roman" w:hAnsi="Times New Roman"/>
          <w:sz w:val="24"/>
        </w:rPr>
      </w:pPr>
    </w:p>
    <w:p>
      <w:pPr>
        <w:tabs>
          <w:tab w:val="left" w:pos="9631" w:leader="none"/>
        </w:tabs>
        <w:spacing w:lineRule="auto" w:line="240" w:after="0" w:beforeAutospacing="0" w:afterAutospacing="0"/>
        <w:jc w:val="center"/>
        <w:rPr>
          <w:rFonts w:ascii="Times New Roman" w:hAnsi="Times New Roman"/>
          <w:sz w:val="24"/>
        </w:rPr>
      </w:pPr>
      <w:r>
        <w:rPr>
          <w:rFonts w:ascii="Times New Roman" w:hAnsi="Times New Roman"/>
          <w:sz w:val="24"/>
        </w:rPr>
        <w:t xml:space="preserve">Научные руководители — кафедра теоретической общей и нетрадиционной энергетики, доктор технических наук, профессор Никульшин В.Р.; кандидат технических наук, </w:t>
      </w:r>
    </w:p>
    <w:p>
      <w:pPr>
        <w:tabs>
          <w:tab w:val="left" w:pos="9631" w:leader="none"/>
        </w:tabs>
        <w:spacing w:lineRule="auto" w:line="240" w:after="0" w:beforeAutospacing="0" w:afterAutospacing="0"/>
        <w:jc w:val="center"/>
        <w:rPr>
          <w:rFonts w:ascii="Times New Roman" w:hAnsi="Times New Roman"/>
          <w:sz w:val="24"/>
        </w:rPr>
      </w:pPr>
      <w:r>
        <w:rPr>
          <w:rFonts w:ascii="Times New Roman" w:hAnsi="Times New Roman"/>
          <w:color w:val="000000"/>
          <w:sz w:val="24"/>
        </w:rPr>
        <w:t xml:space="preserve">доцент  Высочин В.В</w:t>
      </w:r>
      <w:r>
        <w:rPr>
          <w:rFonts w:ascii="Times New Roman" w:hAnsi="Times New Roman"/>
          <w:sz w:val="24"/>
        </w:rPr>
        <w:t>.; кафедра тепловых электростанций и энергосберегающих технологий, доктор технических наук, профессор Денисова А.Е.;</w:t>
      </w:r>
    </w:p>
    <w:p>
      <w:pPr>
        <w:pStyle w:val="P2"/>
        <w:widowControl w:val="0"/>
        <w:spacing w:before="0" w:after="0" w:beforeAutospacing="0" w:afterAutospacing="0"/>
        <w:jc w:val="center"/>
      </w:pPr>
      <w:r>
        <w:t xml:space="preserve">магистры — </w:t>
      </w:r>
      <w:r>
        <w:rPr>
          <w:color w:val="000000"/>
        </w:rPr>
        <w:t>Стопневич А.О</w:t>
      </w:r>
      <w:r>
        <w:t>., Баланчук В.С.</w:t>
      </w:r>
    </w:p>
    <w:p>
      <w:pPr>
        <w:pStyle w:val="P5"/>
        <w:spacing w:lineRule="auto" w:line="276" w:beforeAutospacing="0" w:afterAutospacing="0"/>
        <w:jc w:val="center"/>
        <w:rPr>
          <w:sz w:val="24"/>
        </w:rPr>
      </w:pPr>
    </w:p>
    <w:p>
      <w:pPr>
        <w:pStyle w:val="P5"/>
        <w:spacing w:lineRule="auto" w:line="276" w:beforeAutospacing="0" w:afterAutospacing="0"/>
        <w:jc w:val="center"/>
        <w:rPr>
          <w:rFonts w:ascii="Times New Roman" w:hAnsi="Times New Roman"/>
          <w:sz w:val="24"/>
        </w:rPr>
      </w:pPr>
      <w:r>
        <w:rPr>
          <w:rFonts w:ascii="Times New Roman" w:hAnsi="Times New Roman"/>
          <w:sz w:val="24"/>
        </w:rPr>
        <w:t xml:space="preserve">Supervisors — Department of Theoretical General and Non-conventional Power Engineering, Doctor of Technical Sciences, Professor Nikulshin V.R.; PhD, As. Prof.  Visochin V.V.; </w:t>
      </w:r>
    </w:p>
    <w:p>
      <w:pPr>
        <w:pStyle w:val="P2"/>
        <w:widowControl w:val="0"/>
        <w:spacing w:before="0" w:after="0" w:beforeAutospacing="0" w:afterAutospacing="0"/>
        <w:jc w:val="center"/>
        <w:rPr>
          <w:b w:val="1"/>
          <w:color w:val="000000"/>
          <w:sz w:val="28"/>
        </w:rPr>
      </w:pPr>
      <w:r>
        <w:t>Department of Thermal Power Plants and Energy-Saving Technologies, Doctor of Technical Sciences, Professor Denisova A.E.; мasters students —Stopnevich A.O., Balanchuk V. C.</w:t>
      </w:r>
    </w:p>
    <w:p>
      <w:pPr>
        <w:tabs>
          <w:tab w:val="left" w:pos="9631" w:leader="none"/>
        </w:tabs>
        <w:spacing w:lineRule="auto" w:line="240" w:after="0" w:beforeAutospacing="0" w:afterAutospacing="0"/>
        <w:jc w:val="center"/>
        <w:rPr>
          <w:rFonts w:ascii="Times New Roman" w:hAnsi="Times New Roman"/>
          <w:sz w:val="24"/>
        </w:rPr>
      </w:pPr>
    </w:p>
    <w:p>
      <w:pPr>
        <w:pStyle w:val="P5"/>
        <w:spacing w:lineRule="auto" w:line="240" w:beforeAutospacing="0" w:afterAutospacing="0"/>
        <w:jc w:val="center"/>
        <w:rPr>
          <w:rFonts w:ascii="Times New Roman" w:hAnsi="Times New Roman"/>
          <w:b w:val="1"/>
          <w:sz w:val="24"/>
        </w:rPr>
      </w:pPr>
      <w:r>
        <w:rPr>
          <w:rFonts w:ascii="Times New Roman" w:hAnsi="Times New Roman"/>
          <w:sz w:val="24"/>
        </w:rPr>
        <w:t>.</w:t>
      </w:r>
    </w:p>
    <w:p>
      <w:pPr>
        <w:spacing w:lineRule="auto" w:line="240" w:after="0" w:beforeAutospacing="0" w:afterAutospacing="0"/>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Наведена модель обчислення тривалості роботи сонячних колектрорів при заданій робочій температурі.</w:t>
      </w:r>
    </w:p>
    <w:p>
      <w:pPr>
        <w:spacing w:lineRule="auto" w:line="240" w:after="0" w:beforeAutospacing="0" w:afterAutospacing="0"/>
        <w:jc w:val="both"/>
        <w:rPr>
          <w:rFonts w:ascii="Times New Roman" w:hAnsi="Times New Roman"/>
          <w:sz w:val="24"/>
        </w:rPr>
      </w:pPr>
      <w:r>
        <w:rPr>
          <w:rFonts w:ascii="Times New Roman" w:hAnsi="Times New Roman"/>
          <w:b w:val="1"/>
          <w:sz w:val="24"/>
        </w:rPr>
        <w:t xml:space="preserve">Аннотация.  </w:t>
      </w:r>
      <w:r>
        <w:rPr>
          <w:rFonts w:ascii="Times New Roman" w:hAnsi="Times New Roman"/>
          <w:sz w:val="24"/>
        </w:rPr>
        <w:t>Приведена модель расчета длительности работы солнечных коллекторов при заданной рабочей температуре.</w:t>
      </w:r>
    </w:p>
    <w:p>
      <w:pPr>
        <w:pStyle w:val="P9"/>
        <w:jc w:val="both"/>
        <w:rPr>
          <w:rFonts w:ascii="Times New Roman" w:hAnsi="Times New Roman"/>
          <w:sz w:val="24"/>
        </w:rPr>
      </w:pPr>
      <w:r>
        <w:rPr>
          <w:rFonts w:ascii="Times New Roman" w:hAnsi="Times New Roman"/>
          <w:b w:val="1"/>
          <w:sz w:val="24"/>
        </w:rPr>
        <w:t xml:space="preserve">Abstract. </w:t>
      </w:r>
      <w:r>
        <w:rPr>
          <w:rFonts w:ascii="Times New Roman" w:hAnsi="Times New Roman"/>
          <w:sz w:val="24"/>
        </w:rPr>
        <w:t>A model for calculating the duration of operation of solar collectors at a given operating temperature is presented..</w:t>
      </w:r>
    </w:p>
    <w:p>
      <w:pPr>
        <w:pStyle w:val="P9"/>
        <w:jc w:val="both"/>
        <w:rPr>
          <w:rFonts w:ascii="Times New Roman" w:hAnsi="Times New Roman"/>
          <w:sz w:val="24"/>
        </w:rPr>
      </w:pPr>
    </w:p>
    <w:p>
      <w:pPr>
        <w:spacing w:lineRule="auto" w:line="240" w:after="0" w:beforeAutospacing="0" w:afterAutospacing="0"/>
        <w:jc w:val="both"/>
        <w:rPr>
          <w:rFonts w:ascii="Times New Roman" w:hAnsi="Times New Roman"/>
          <w:b w:val="1"/>
          <w:sz w:val="24"/>
        </w:rPr>
      </w:pPr>
      <w:r>
        <w:rPr>
          <w:rFonts w:ascii="Times New Roman" w:hAnsi="Times New Roman"/>
          <w:b w:val="1"/>
          <w:sz w:val="24"/>
        </w:rPr>
        <w:t xml:space="preserve">Ключові слова: </w:t>
      </w:r>
      <w:r>
        <w:rPr>
          <w:rFonts w:ascii="Times New Roman" w:hAnsi="Times New Roman"/>
          <w:sz w:val="24"/>
        </w:rPr>
        <w:t>сонячний коллектор, тривалість роботи, робоча температура</w:t>
      </w:r>
    </w:p>
    <w:p>
      <w:pPr>
        <w:spacing w:lineRule="auto" w:line="240" w:after="0" w:beforeAutospacing="0" w:afterAutospacing="0"/>
        <w:jc w:val="both"/>
        <w:rPr>
          <w:rFonts w:ascii="Times New Roman" w:hAnsi="Times New Roman"/>
          <w:sz w:val="24"/>
        </w:rPr>
      </w:pPr>
      <w:r>
        <w:rPr>
          <w:rFonts w:ascii="Times New Roman" w:hAnsi="Times New Roman"/>
          <w:b w:val="1"/>
          <w:sz w:val="24"/>
        </w:rPr>
        <w:t xml:space="preserve">Ключевые слова: </w:t>
      </w:r>
      <w:r>
        <w:rPr>
          <w:rFonts w:ascii="Times New Roman" w:hAnsi="Times New Roman"/>
          <w:sz w:val="24"/>
        </w:rPr>
        <w:t xml:space="preserve"> солнечный коллектор, длительность работы, рабочая температура</w:t>
      </w:r>
    </w:p>
    <w:p>
      <w:pPr>
        <w:pStyle w:val="P9"/>
      </w:pPr>
      <w:r>
        <w:rPr>
          <w:rFonts w:ascii="Times New Roman" w:hAnsi="Times New Roman"/>
          <w:b w:val="1"/>
          <w:sz w:val="24"/>
        </w:rPr>
        <w:t xml:space="preserve">Key words: </w:t>
      </w:r>
      <w:bookmarkStart w:id="0" w:name="_GoBack"/>
      <w:r>
        <w:rPr>
          <w:rFonts w:ascii="Times New Roman" w:hAnsi="Times New Roman"/>
          <w:sz w:val="24"/>
        </w:rPr>
        <w:t>solar collector, operating time, operating temperature</w:t>
      </w:r>
      <w:bookmarkEnd w:id="0"/>
    </w:p>
    <w:p>
      <w:pPr>
        <w:ind w:firstLine="708"/>
        <w:jc w:val="both"/>
        <w:rPr>
          <w:rFonts w:ascii="Times New Roman" w:hAnsi="Times New Roman"/>
          <w:sz w:val="24"/>
        </w:rPr>
      </w:pPr>
    </w:p>
    <w:p>
      <w:pPr>
        <w:pStyle w:val="P2"/>
        <w:spacing w:before="0" w:after="0" w:beforeAutospacing="0" w:afterAutospacing="0"/>
        <w:ind w:firstLine="709"/>
        <w:jc w:val="both"/>
        <w:rPr>
          <w:rStyle w:val="C3"/>
          <w:rFonts w:ascii="Times New Roman" w:hAnsi="Times New Roman"/>
          <w:sz w:val="24"/>
        </w:rPr>
      </w:pPr>
      <w:r>
        <w:rPr>
          <w:rStyle w:val="C3"/>
          <w:rFonts w:ascii="Times New Roman" w:hAnsi="Times New Roman"/>
          <w:sz w:val="24"/>
        </w:rPr>
        <w:t xml:space="preserve">Метод дослідження  — аналітичний, з використанням математичного моделювання роботи сонячних колекторів (СК).  Визначальний вплив на тривалість активної роботи СК створює температурний режим  і  астрономічні характеристики, які викликають сезонні зміни. Це  — схилення сонця й похідні: тривалість світлового дня, інтенсивність сонячного випромінювання (як очищений параметр  —  поза атмосферою),  номер місяця (дня) у році. Тривалість  активної роботи  (τ</w:t>
      </w:r>
      <w:r>
        <w:rPr>
          <w:rStyle w:val="C3"/>
          <w:rFonts w:ascii="Times New Roman" w:hAnsi="Times New Roman"/>
          <w:sz w:val="24"/>
          <w:vertAlign w:val="subscript"/>
        </w:rPr>
        <w:t>ак</w:t>
      </w:r>
      <w:r>
        <w:rPr>
          <w:rStyle w:val="C3"/>
          <w:rFonts w:ascii="Times New Roman" w:hAnsi="Times New Roman"/>
          <w:sz w:val="24"/>
        </w:rPr>
        <w:t xml:space="preserve">) істотно змінюється протягом  року.  При цьому ступінь росту  τ</w:t>
      </w:r>
      <w:r>
        <w:rPr>
          <w:rStyle w:val="C3"/>
          <w:rFonts w:ascii="Times New Roman" w:hAnsi="Times New Roman"/>
          <w:sz w:val="24"/>
          <w:vertAlign w:val="subscript"/>
        </w:rPr>
        <w:t>ак</w:t>
      </w:r>
      <w:r>
        <w:rPr>
          <w:rStyle w:val="C3"/>
          <w:rFonts w:ascii="Times New Roman" w:hAnsi="Times New Roman"/>
          <w:sz w:val="24"/>
        </w:rPr>
        <w:t xml:space="preserve"> залежить від робочої температури.  Зі збільшенням цієї температури період роботи СК скорочується:  наприклад, у сьомому місяці τ</w:t>
      </w:r>
      <w:r>
        <w:rPr>
          <w:rStyle w:val="C3"/>
          <w:rFonts w:ascii="Times New Roman" w:hAnsi="Times New Roman"/>
          <w:sz w:val="24"/>
          <w:vertAlign w:val="subscript"/>
        </w:rPr>
        <w:t>ак</w:t>
      </w:r>
      <w:r>
        <w:rPr>
          <w:rStyle w:val="C3"/>
          <w:rFonts w:ascii="Times New Roman" w:hAnsi="Times New Roman"/>
          <w:sz w:val="24"/>
        </w:rPr>
        <w:t xml:space="preserve">  знижується на 3 години при збільшенні температури нагрівання теплоносія  з 30С до 80С.</w:t>
      </w:r>
    </w:p>
    <w:p>
      <w:pPr>
        <w:pStyle w:val="P2"/>
        <w:spacing w:before="0" w:after="0" w:beforeAutospacing="0" w:afterAutospacing="0"/>
        <w:ind w:firstLine="709"/>
        <w:jc w:val="both"/>
        <w:rPr>
          <w:rStyle w:val="C3"/>
          <w:rFonts w:ascii="Times New Roman" w:hAnsi="Times New Roman"/>
          <w:sz w:val="24"/>
        </w:rPr>
      </w:pPr>
      <w:r>
        <w:rPr>
          <w:rStyle w:val="C3"/>
          <w:rFonts w:ascii="Times New Roman" w:hAnsi="Times New Roman"/>
          <w:sz w:val="24"/>
        </w:rPr>
        <w:t xml:space="preserve">Характер  зміни тривалості активної роботи СК від  сезону близький до параболічного.  Причому аргумент параболічної функції залежить від температури теплоносія.  Дослідження  визначальних факторів шуканої функції показує також, що, незважаючи на значний  вплив  кількості денної радіації  </w:t>
      </w:r>
      <w:r>
        <w:rPr>
          <w:rStyle w:val="C3"/>
          <w:rFonts w:ascii="Times New Roman" w:hAnsi="Times New Roman"/>
          <w:i w:val="1"/>
          <w:sz w:val="24"/>
        </w:rPr>
        <w:t>Н</w:t>
      </w:r>
      <w:r>
        <w:rPr>
          <w:rStyle w:val="C3"/>
          <w:rFonts w:ascii="Times New Roman" w:hAnsi="Times New Roman"/>
          <w:sz w:val="24"/>
        </w:rPr>
        <w:t xml:space="preserve"> на цільову функцію, при тому самому   значенні  </w:t>
      </w:r>
      <w:r>
        <w:rPr>
          <w:rStyle w:val="C3"/>
          <w:rFonts w:ascii="Times New Roman" w:hAnsi="Times New Roman"/>
          <w:i w:val="1"/>
          <w:sz w:val="24"/>
        </w:rPr>
        <w:t>Н</w:t>
      </w:r>
      <w:r>
        <w:rPr>
          <w:rStyle w:val="C3"/>
          <w:rFonts w:ascii="Times New Roman" w:hAnsi="Times New Roman"/>
          <w:sz w:val="24"/>
        </w:rPr>
        <w:t xml:space="preserve">  тривалість активної роботи СК може бути різною.  Це є наслідком переміни знака швидкості зміни   кількості денної радіації в розгорненні року.</w:t>
      </w:r>
    </w:p>
    <w:p>
      <w:pPr>
        <w:pStyle w:val="P2"/>
        <w:spacing w:before="0" w:after="0" w:beforeAutospacing="0" w:afterAutospacing="0"/>
        <w:ind w:firstLine="709"/>
        <w:jc w:val="both"/>
        <w:rPr>
          <w:rStyle w:val="C3"/>
          <w:rFonts w:ascii="Times New Roman" w:hAnsi="Times New Roman"/>
          <w:sz w:val="24"/>
        </w:rPr>
      </w:pPr>
      <w:r>
        <w:rPr>
          <w:rStyle w:val="C3"/>
          <w:rFonts w:ascii="Times New Roman" w:hAnsi="Times New Roman"/>
          <w:sz w:val="24"/>
        </w:rPr>
        <w:t xml:space="preserve">Загальне  співвідношення по визначенню тривалості активної роботи СК отримано у вигляді</w:t>
      </w:r>
    </w:p>
    <w:p>
      <w:pPr>
        <w:pStyle w:val="P2"/>
        <w:spacing w:before="0" w:after="0" w:beforeAutospacing="0" w:afterAutospacing="0"/>
        <w:ind w:firstLine="709"/>
        <w:jc w:val="both"/>
        <w:rPr>
          <w:rStyle w:val="C3"/>
          <w:rFonts w:ascii="Times New Roman" w:hAnsi="Times New Roman"/>
          <w:sz w:val="24"/>
        </w:rPr>
      </w:pPr>
    </w:p>
    <w:p>
      <w:pPr>
        <w:pStyle w:val="P2"/>
        <w:spacing w:before="0" w:after="0" w:beforeAutospacing="0" w:afterAutospacing="0"/>
        <w:ind w:firstLine="709"/>
        <w:jc w:val="both"/>
        <w:rPr>
          <w:rStyle w:val="C3"/>
          <w:rFonts w:ascii="Times New Roman" w:hAnsi="Times New Roman"/>
          <w:sz w:val="24"/>
        </w:rPr>
      </w:pPr>
      <w:r>
        <w:rPr>
          <w:rStyle w:val="C3"/>
          <w:rFonts w:ascii="Times New Roman" w:hAnsi="Times New Roman"/>
          <w:sz w:val="24"/>
        </w:rPr>
        <w:t xml:space="preserve">           ,</w:t>
      </w:r>
    </w:p>
    <w:p>
      <w:pPr>
        <w:pStyle w:val="P2"/>
        <w:spacing w:before="0" w:after="0" w:beforeAutospacing="0" w:afterAutospacing="0"/>
        <w:ind w:firstLine="709"/>
        <w:jc w:val="both"/>
        <w:rPr>
          <w:rStyle w:val="C3"/>
          <w:rFonts w:ascii="Times New Roman" w:hAnsi="Times New Roman"/>
          <w:sz w:val="24"/>
        </w:rPr>
      </w:pPr>
    </w:p>
    <w:p>
      <w:pPr>
        <w:pStyle w:val="P2"/>
        <w:spacing w:before="0" w:after="0" w:beforeAutospacing="0" w:afterAutospacing="0"/>
        <w:jc w:val="both"/>
        <w:rPr>
          <w:rStyle w:val="C3"/>
          <w:rFonts w:ascii="Times New Roman" w:hAnsi="Times New Roman"/>
          <w:sz w:val="24"/>
        </w:rPr>
      </w:pPr>
      <w:r>
        <w:rPr>
          <w:rStyle w:val="C3"/>
          <w:rFonts w:ascii="Times New Roman" w:hAnsi="Times New Roman"/>
          <w:sz w:val="24"/>
        </w:rPr>
        <w:t xml:space="preserve">де   — робоча температура колектора;   —  номер дня в році.</w:t>
      </w:r>
    </w:p>
    <w:p>
      <w:pPr>
        <w:pStyle w:val="P2"/>
        <w:spacing w:before="0" w:after="0" w:beforeAutospacing="0" w:afterAutospacing="0"/>
        <w:ind w:firstLine="709"/>
        <w:jc w:val="both"/>
        <w:rPr>
          <w:rStyle w:val="C3"/>
          <w:rFonts w:ascii="Times New Roman" w:hAnsi="Times New Roman"/>
          <w:sz w:val="24"/>
        </w:rPr>
      </w:pPr>
      <w:r>
        <w:rPr>
          <w:rStyle w:val="C3"/>
          <w:rFonts w:ascii="Times New Roman" w:hAnsi="Times New Roman"/>
          <w:sz w:val="24"/>
        </w:rPr>
        <w:tab/>
        <w:t xml:space="preserve">Ця залежність визначена для географічного району  із широтою (45 …47).  Погрішність   апроксимації вихідних даних цією залежністю не перевищує 8 % у найбільше споживаної  області використовуваних параметрів,  що є прийнятним для практичного застосування. </w:t>
      </w:r>
    </w:p>
    <w:p>
      <w:pPr>
        <w:pStyle w:val="P2"/>
        <w:spacing w:lineRule="auto" w:line="276" w:before="0" w:after="0" w:beforeAutospacing="0" w:afterAutospacing="0"/>
        <w:jc w:val="both"/>
        <w:rPr>
          <w:rStyle w:val="C3"/>
          <w:rFonts w:ascii="Times New Roman" w:hAnsi="Times New Roman"/>
          <w:sz w:val="24"/>
        </w:rPr>
      </w:pPr>
    </w:p>
    <w:sectPr>
      <w:headerReference xmlns:r="http://schemas.openxmlformats.org/officeDocument/2006/relationships" w:type="default" r:id="RelHdr1"/>
      <w:type w:val="nextPage"/>
      <w:pgSz w:w="11906" w:h="16838" w:code="9"/>
      <w:pgMar w:left="1134" w:right="1134" w:top="1134" w:bottom="1134" w:header="709" w:footer="709"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left" w:pos="690" w:leader="none"/>
        <w:tab w:val="center" w:pos="4677" w:leader="none"/>
        <w:tab w:val="right" w:pos="9355" w:leader="none"/>
      </w:tabs>
      <w:jc w:val="center"/>
      <w:rPr>
        <w:rFonts w:ascii="Times New Roman" w:hAnsi="Times New Roman"/>
        <w:sz w:val="24"/>
      </w:rPr>
    </w:pPr>
    <w:r>
      <w:rPr>
        <w:rFonts w:ascii="Times New Roman" w:hAnsi="Times New Roman"/>
        <w:sz w:val="24"/>
      </w:rPr>
      <w:t>Тези доповідей 57-ої конференції молодих дослідників «Сучасні інформаційні технології та телекомунікаційні мережі» //Одеса: НУОП, 2022, вип. 57</w:t>
    </w:r>
  </w:p>
</w:hdr>
</file>

<file path=word/numbering.xml><?xml version="1.0" encoding="utf-8"?>
<w:numbering xmlns:w="http://schemas.openxmlformats.org/wordprocessingml/2006/main">
  <w:abstractNum w:abstractNumId="0">
    <w:nsid w:val="20E80DC5"/>
    <w:multiLevelType w:val="hybridMultilevel"/>
    <w:lvl w:ilvl="0" w:tplc="A22AC36A">
      <w:start w:val="5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38CD6081"/>
    <w:multiLevelType w:val="hybridMultilevel"/>
    <w:lvl w:ilvl="0" w:tplc="A7D414D0">
      <w:start w:val="109"/>
      <w:numFmt w:val="decimal"/>
      <w:suff w:val="tab"/>
      <w:lvlText w:val="%1"/>
      <w:lvlJc w:val="left"/>
      <w:pPr>
        <w:ind w:hanging="450" w:left="81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
    <w:nsid w:val="42766856"/>
    <w:multiLevelType w:val="hybridMultilevel"/>
    <w:lvl w:ilvl="0" w:tplc="3318714E">
      <w:start w:val="1"/>
      <w:numFmt w:val="decimal"/>
      <w:suff w:val="tab"/>
      <w:lvlText w:val="%1."/>
      <w:lvlJc w:val="left"/>
      <w:pPr>
        <w:ind w:hanging="360" w:left="720"/>
      </w:pPr>
      <w:rPr>
        <w:color w:val="auto"/>
        <w:sz w:val="20"/>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73BA7176"/>
    <w:multiLevelType w:val="hybridMultilevel"/>
    <w:lvl w:ilvl="0" w:tplc="B14C397E">
      <w:start w:val="5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74D553E2"/>
    <w:multiLevelType w:val="hybridMultilevel"/>
    <w:lvl w:ilvl="0" w:tplc="1AF8E4EA">
      <w:start w:val="57"/>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59" w:after="160" w:beforeAutospacing="0" w:afterAutospacing="0"/>
    </w:pPr>
    <w:rPr/>
  </w:style>
  <w:style w:type="paragraph" w:styleId="P1">
    <w:name w:val="caption"/>
    <w:basedOn w:val="P0"/>
    <w:next w:val="P0"/>
    <w:qFormat/>
    <w:pPr>
      <w:spacing w:lineRule="auto" w:line="240" w:after="200" w:beforeAutospacing="0" w:afterAutospacing="0"/>
    </w:pPr>
    <w:rPr>
      <w:i w:val="1"/>
      <w:color w:val="1F497D"/>
      <w:sz w:val="18"/>
    </w:rPr>
  </w:style>
  <w:style w:type="paragraph" w:styleId="P2">
    <w:name w:val="Normal (Web)"/>
    <w:basedOn w:val="P0"/>
    <w:pPr>
      <w:spacing w:lineRule="auto" w:line="240" w:before="100" w:after="100" w:beforeAutospacing="1" w:afterAutospacing="1"/>
    </w:pPr>
    <w:rPr>
      <w:rFonts w:ascii="Times New Roman" w:hAnsi="Times New Roman"/>
      <w:sz w:val="24"/>
    </w:rPr>
  </w:style>
  <w:style w:type="paragraph" w:styleId="P3">
    <w:name w:val="АВТОРЫ СТАТЬИ"/>
    <w:basedOn w:val="P0"/>
    <w:pPr>
      <w:spacing w:lineRule="auto" w:line="360" w:after="0" w:beforeAutospacing="0" w:afterAutospacing="0"/>
      <w:ind w:firstLine="709"/>
      <w:jc w:val="both"/>
    </w:pPr>
    <w:rPr>
      <w:rFonts w:ascii="Times New Roman" w:hAnsi="Times New Roman"/>
      <w:b w:val="1"/>
      <w:sz w:val="28"/>
    </w:rPr>
  </w:style>
  <w:style w:type="paragraph" w:styleId="P4">
    <w:name w:val="List Paragraph"/>
    <w:basedOn w:val="P0"/>
    <w:qFormat/>
    <w:pPr>
      <w:ind w:left="720"/>
      <w:contextualSpacing w:val="1"/>
    </w:pPr>
    <w:rPr/>
  </w:style>
  <w:style w:type="paragraph" w:styleId="P5">
    <w:name w:val="Body Text"/>
    <w:basedOn w:val="P0"/>
    <w:link w:val="C5"/>
    <w:pPr>
      <w:widowControl w:val="0"/>
      <w:shd w:val="clear" w:fill="FFFFFF"/>
      <w:spacing w:lineRule="exact" w:line="346" w:after="0" w:beforeAutospacing="0" w:afterAutospacing="0"/>
      <w:jc w:val="both"/>
    </w:pPr>
    <w:rPr/>
  </w:style>
  <w:style w:type="paragraph" w:styleId="P6">
    <w:name w:val="Balloon Text"/>
    <w:basedOn w:val="P0"/>
    <w:link w:val="C7"/>
    <w:semiHidden/>
    <w:pPr>
      <w:spacing w:lineRule="auto" w:line="240" w:after="0" w:beforeAutospacing="0" w:afterAutospacing="0"/>
    </w:pPr>
    <w:rPr>
      <w:rFonts w:ascii="Tahoma" w:hAnsi="Tahoma"/>
      <w:sz w:val="16"/>
    </w:rPr>
  </w:style>
  <w:style w:type="paragraph" w:styleId="P7">
    <w:name w:val="header"/>
    <w:basedOn w:val="P0"/>
    <w:link w:val="C8"/>
    <w:pPr>
      <w:tabs>
        <w:tab w:val="center" w:pos="4677" w:leader="none"/>
        <w:tab w:val="right" w:pos="9355" w:leader="none"/>
      </w:tabs>
      <w:spacing w:lineRule="auto" w:line="240" w:after="0" w:beforeAutospacing="0" w:afterAutospacing="0"/>
    </w:pPr>
    <w:rPr/>
  </w:style>
  <w:style w:type="paragraph" w:styleId="P8">
    <w:name w:val="footer"/>
    <w:basedOn w:val="P0"/>
    <w:link w:val="C9"/>
    <w:pPr>
      <w:tabs>
        <w:tab w:val="center" w:pos="4677" w:leader="none"/>
        <w:tab w:val="right" w:pos="9355" w:leader="none"/>
      </w:tabs>
      <w:spacing w:lineRule="auto" w:line="240" w:after="0" w:beforeAutospacing="0" w:afterAutospacing="0"/>
    </w:pPr>
    <w:rPr/>
  </w:style>
  <w:style w:type="paragraph" w:styleId="P9">
    <w:name w:val="HTML Preformatted"/>
    <w:basedOn w:val="P0"/>
    <w:link w:val="C10"/>
    <w:semiHidden/>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pPr>
    <w:rPr>
      <w:rFonts w:ascii="Courier New" w:hAnsi="Courier New"/>
      <w:sz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notranslate"/>
    <w:basedOn w:val="C0"/>
    <w:rPr/>
  </w:style>
  <w:style w:type="character" w:styleId="C4">
    <w:name w:val="Placeholder Text"/>
    <w:basedOn w:val="C0"/>
    <w:semiHidden/>
    <w:rPr>
      <w:color w:val="808080"/>
    </w:rPr>
  </w:style>
  <w:style w:type="character" w:styleId="C5">
    <w:name w:val="Основной текст Знак1"/>
    <w:link w:val="P5"/>
    <w:rPr/>
  </w:style>
  <w:style w:type="character" w:styleId="C6">
    <w:name w:val="Основной текст Знак"/>
    <w:basedOn w:val="C0"/>
    <w:semiHidden/>
    <w:rPr/>
  </w:style>
  <w:style w:type="character" w:styleId="C7">
    <w:name w:val="Текст выноски Знак"/>
    <w:basedOn w:val="C0"/>
    <w:link w:val="P6"/>
    <w:semiHidden/>
    <w:rPr>
      <w:rFonts w:ascii="Tahoma" w:hAnsi="Tahoma"/>
      <w:sz w:val="16"/>
    </w:rPr>
  </w:style>
  <w:style w:type="character" w:styleId="C8">
    <w:name w:val="Верхний колонтитул Знак"/>
    <w:basedOn w:val="C0"/>
    <w:link w:val="P7"/>
    <w:rPr/>
  </w:style>
  <w:style w:type="character" w:styleId="C9">
    <w:name w:val="Нижний колонтитул Знак"/>
    <w:basedOn w:val="C0"/>
    <w:link w:val="P8"/>
    <w:rPr/>
  </w:style>
  <w:style w:type="character" w:styleId="C10">
    <w:name w:val="Стандартный HTML Знак"/>
    <w:basedOn w:val="C0"/>
    <w:link w:val="P9"/>
    <w:semiHidden/>
    <w:rPr>
      <w:rFonts w:ascii="Courier New" w:hAnsi="Courier New"/>
      <w:sz w:val="20"/>
    </w:rPr>
  </w:style>
  <w:style w:type="character" w:styleId="C11">
    <w:name w:val="y2iqfc"/>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