
<file path=[Content_Types].xml><?xml version="1.0" encoding="utf-8"?>
<Types xmlns="http://schemas.openxmlformats.org/package/2006/content-types">
  <Default Extension="rels" ContentType="application/vnd.openxmlformats-package.relationships+xml"/>
  <Default Extension="png" ContentType="image/png"/>
  <Default Extension="wmf" ContentType="application/x-msmetafile"/>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30D2294C"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Style w:val="T2"/>
        <w:tblW w:w="0" w:type="auto"/>
        <w:tblCellMar>
          <w:left w:w="28" w:type="dxa"/>
          <w:right w:w="28" w:type="dxa"/>
        </w:tblCellMar>
        <w:tblLook w:val="04A0"/>
      </w:tblPr>
      <w:tblGrid/>
      <w:tr>
        <w:tc>
          <w:tcPr>
            <w:tcW w:w="9627" w:type="dxa"/>
          </w:tcPr>
          <w:p>
            <w:pPr>
              <w:pStyle w:val="P1"/>
              <w:shd w:val="clear" w:fill="auto"/>
              <w:spacing w:lineRule="auto" w:line="276" w:beforeAutospacing="0" w:afterAutospacing="0"/>
              <w:ind w:firstLine="360"/>
              <w:jc w:val="center"/>
              <w:rPr>
                <w:b w:val="1"/>
                <w:sz w:val="24"/>
              </w:rPr>
            </w:pPr>
            <w:r>
              <w:rPr>
                <w:b w:val="1"/>
                <w:sz w:val="24"/>
              </w:rPr>
              <w:t>Моделювання теплового режиму в контейнері для ядерного палива, що відпрацювало.</w:t>
            </w:r>
          </w:p>
          <w:p>
            <w:pPr>
              <w:pStyle w:val="P1"/>
              <w:shd w:val="clear" w:fill="auto"/>
              <w:spacing w:lineRule="auto" w:line="276" w:beforeAutospacing="0" w:afterAutospacing="0"/>
              <w:ind w:firstLine="360"/>
              <w:jc w:val="center"/>
              <w:rPr>
                <w:b w:val="1"/>
                <w:i w:val="1"/>
              </w:rPr>
            </w:pPr>
            <w:r>
              <w:rPr>
                <w:b w:val="1"/>
                <w:i w:val="1"/>
              </w:rPr>
              <w:t xml:space="preserve">Магістрант </w:t>
            </w:r>
            <w:r>
              <w:rPr>
                <w:sz w:val="24"/>
              </w:rPr>
              <w:t xml:space="preserve">Ящук Богдан Валентинович, гр. </w:t>
            </w:r>
            <w:r>
              <w:rPr>
                <w:rStyle w:val="C19"/>
              </w:rPr>
              <w:t>ТЯ-1704</w:t>
            </w:r>
          </w:p>
          <w:p>
            <w:pPr>
              <w:pStyle w:val="P1"/>
              <w:shd w:val="clear" w:fill="auto"/>
              <w:spacing w:lineRule="auto" w:line="276" w:beforeAutospacing="0" w:afterAutospacing="0"/>
              <w:ind w:firstLine="360"/>
              <w:jc w:val="center"/>
              <w:rPr>
                <w:sz w:val="24"/>
              </w:rPr>
            </w:pPr>
            <w:r>
              <w:rPr>
                <w:b w:val="1"/>
                <w:i w:val="1"/>
              </w:rPr>
              <w:t xml:space="preserve">Науковий керівник </w:t>
            </w:r>
            <w:r>
              <w:rPr>
                <w:sz w:val="24"/>
              </w:rPr>
              <w:t>Ковальчук В’ячеслав Іванович, доц., к.т.н.</w:t>
            </w:r>
          </w:p>
          <w:p>
            <w:pPr>
              <w:pStyle w:val="P1"/>
              <w:shd w:val="clear" w:fill="auto"/>
              <w:spacing w:lineRule="auto" w:line="276" w:beforeAutospacing="0" w:afterAutospacing="0"/>
              <w:ind w:firstLine="360"/>
              <w:rPr>
                <w:b w:val="1"/>
                <w:i w:val="1"/>
              </w:rPr>
            </w:pPr>
            <w:r>
              <w:rPr>
                <w:b w:val="1"/>
                <w:i w:val="1"/>
              </w:rPr>
              <w:t>Анотація</w:t>
            </w:r>
          </w:p>
          <w:p>
            <w:pPr>
              <w:pStyle w:val="P1"/>
              <w:shd w:val="clear" w:fill="auto"/>
              <w:spacing w:lineRule="auto" w:line="276" w:beforeAutospacing="0" w:afterAutospacing="0"/>
              <w:ind w:firstLine="360"/>
              <w:rPr>
                <w:i w:val="1"/>
              </w:rPr>
            </w:pPr>
            <w:r>
              <w:rPr>
                <w:b w:val="1"/>
                <w:i w:val="1"/>
              </w:rPr>
              <w:t>Мета роботи</w:t>
            </w:r>
            <w:r>
              <w:rPr>
                <w:i w:val="1"/>
              </w:rPr>
              <w:t>. Оцінка теплового режиму виїмної частини транспортного контейнера залежно від залишкового тепловиділення, зумовленого тривалістю попереднього витримування тепловиділяючих збірок у басейнах витримки.</w:t>
            </w:r>
          </w:p>
          <w:p>
            <w:pPr>
              <w:pStyle w:val="P1"/>
              <w:shd w:val="clear" w:fill="auto"/>
              <w:ind w:firstLine="360"/>
            </w:pPr>
            <w:r>
              <w:rPr>
                <w:b w:val="1"/>
                <w:i w:val="1"/>
                <w:sz w:val="19"/>
              </w:rPr>
              <w:t xml:space="preserve">Методи дослідження. </w:t>
            </w:r>
            <w:r>
              <w:rPr>
                <w:i w:val="1"/>
              </w:rPr>
              <w:t>Математичне моделювання, чисельне розв’язання диференційних рівнянь задач теплообміну.</w:t>
            </w:r>
          </w:p>
          <w:p>
            <w:pPr>
              <w:pStyle w:val="P1"/>
              <w:shd w:val="clear" w:fill="auto"/>
              <w:spacing w:lineRule="auto" w:line="264" w:beforeAutospacing="0" w:afterAutospacing="0"/>
              <w:ind w:firstLine="360"/>
              <w:rPr>
                <w:i w:val="1"/>
              </w:rPr>
            </w:pPr>
            <w:r>
              <w:rPr>
                <w:b w:val="1"/>
                <w:i w:val="1"/>
                <w:sz w:val="19"/>
              </w:rPr>
              <w:t xml:space="preserve">Отримані результати. </w:t>
            </w:r>
            <w:r>
              <w:rPr>
                <w:i w:val="1"/>
              </w:rPr>
              <w:t xml:space="preserve">Отримано розподіл температур в корзині зберігання тепловиділяючих збірок, що відпрацювали, реакторів ВВЕР-1000 транспортного контейнеру.  Із застосуванням ітеративної методики моделювання теплових процесів отримані детальні поля температур. Визначені максимальні температури в кожній зоні в залежності від радіусу.</w:t>
            </w:r>
          </w:p>
          <w:p>
            <w:pPr>
              <w:pStyle w:val="P1"/>
              <w:shd w:val="clear" w:fill="auto"/>
              <w:spacing w:lineRule="auto" w:line="257" w:beforeAutospacing="0" w:afterAutospacing="0"/>
              <w:ind w:firstLine="360"/>
            </w:pPr>
            <w:r>
              <w:rPr>
                <w:b w:val="1"/>
                <w:i w:val="1"/>
                <w:sz w:val="19"/>
              </w:rPr>
              <w:t xml:space="preserve">Наукова новизна. </w:t>
            </w:r>
            <w:r>
              <w:rPr>
                <w:i w:val="1"/>
              </w:rPr>
              <w:t>Із застосуванням ітеративної методики моделювання теплових процесів при сухому зберіганні відпрацьованого ядерного палива отримано детальну інформацію про теплові процеси в середині корзини з відпрацьованим паливом в нормальних умовах експлуатації.</w:t>
            </w:r>
          </w:p>
          <w:p>
            <w:pPr>
              <w:pStyle w:val="P1"/>
              <w:shd w:val="clear" w:fill="auto"/>
              <w:spacing w:lineRule="auto" w:line="264" w:beforeAutospacing="0" w:afterAutospacing="0"/>
              <w:ind w:firstLine="360"/>
            </w:pPr>
            <w:r>
              <w:rPr>
                <w:b w:val="1"/>
                <w:i w:val="1"/>
                <w:sz w:val="19"/>
              </w:rPr>
              <w:t xml:space="preserve">Практична цінність. </w:t>
            </w:r>
            <w:r>
              <w:rPr>
                <w:i w:val="1"/>
              </w:rPr>
              <w:t>Підтверджено безпеку зберігання відпрацьованого ядерного палива реакторів ВВЕР- 1000 у транспортному контейнері. Отримані результати доцільні для використання при розробці та впровадженні конструктивних та технологічних рішень стосовно створення або модернізації обладнання зберігання відпрацьованого ядерного палива енергетичних реакторів.</w:t>
            </w:r>
          </w:p>
          <w:p>
            <w:pPr>
              <w:rPr>
                <w:rFonts w:ascii="Times New Roman" w:hAnsi="Times New Roman"/>
                <w:b w:val="1"/>
                <w:color w:val="auto"/>
                <w:sz w:val="22"/>
              </w:rPr>
            </w:pPr>
            <w:r>
              <w:rPr>
                <w:rFonts w:ascii="Times New Roman" w:hAnsi="Times New Roman"/>
                <w:b w:val="1"/>
                <w:color w:val="auto"/>
                <w:sz w:val="22"/>
              </w:rPr>
              <w:t>Ключові слова</w:t>
            </w:r>
            <w:r>
              <w:rPr>
                <w:rFonts w:ascii="Times New Roman" w:hAnsi="Times New Roman"/>
                <w:color w:val="auto"/>
                <w:sz w:val="22"/>
              </w:rPr>
              <w:t>: атомна електроенергетика; ядерне паливо, що відпрацювало; транспортний</w:t>
            </w:r>
            <w:r>
              <w:rPr>
                <w:i w:val="1"/>
                <w:color w:val="auto"/>
                <w:sz w:val="22"/>
              </w:rPr>
              <w:t xml:space="preserve"> </w:t>
            </w:r>
            <w:r>
              <w:rPr>
                <w:rFonts w:ascii="Times New Roman" w:hAnsi="Times New Roman"/>
                <w:color w:val="auto"/>
                <w:sz w:val="22"/>
              </w:rPr>
              <w:t>контейнер сухого зберігання; паливні збірки; теплові процеси; задачі теплообміну; коефіцієнт теплопровідності.</w:t>
            </w:r>
          </w:p>
        </w:tc>
      </w:tr>
      <w:tr>
        <w:tc>
          <w:tcPr>
            <w:tcW w:w="9627" w:type="dxa"/>
          </w:tcPr>
          <w:p>
            <w:pPr>
              <w:pStyle w:val="P1"/>
              <w:spacing w:lineRule="auto" w:line="276" w:beforeAutospacing="0" w:afterAutospacing="0"/>
              <w:ind w:firstLine="360"/>
              <w:jc w:val="center"/>
              <w:rPr>
                <w:b w:val="1"/>
                <w:sz w:val="24"/>
              </w:rPr>
            </w:pPr>
            <w:r>
              <w:rPr>
                <w:b w:val="1"/>
                <w:sz w:val="24"/>
              </w:rPr>
              <w:t>Modeling of the thermal regime in a spent nuclear fuel container.</w:t>
            </w:r>
          </w:p>
          <w:p>
            <w:pPr>
              <w:pStyle w:val="P1"/>
              <w:spacing w:lineRule="auto" w:line="276" w:beforeAutospacing="0" w:afterAutospacing="0"/>
              <w:ind w:firstLine="360"/>
              <w:jc w:val="center"/>
              <w:rPr>
                <w:sz w:val="24"/>
              </w:rPr>
            </w:pPr>
            <w:r>
              <w:rPr>
                <w:sz w:val="24"/>
              </w:rPr>
              <w:t>Master's student Yashchuk Bohdan Valentinovych, c. TYA-1704</w:t>
            </w:r>
          </w:p>
          <w:p>
            <w:pPr>
              <w:pStyle w:val="P1"/>
              <w:spacing w:lineRule="auto" w:line="276" w:beforeAutospacing="0" w:afterAutospacing="0"/>
              <w:ind w:firstLine="360"/>
              <w:jc w:val="center"/>
              <w:rPr>
                <w:sz w:val="24"/>
              </w:rPr>
            </w:pPr>
            <w:r>
              <w:rPr>
                <w:sz w:val="24"/>
              </w:rPr>
              <w:t>Academic supervisor Vyacheslav Ivanovych Kovalchuk, associate professor, Ph.D.</w:t>
            </w:r>
          </w:p>
          <w:p>
            <w:pPr>
              <w:pStyle w:val="P1"/>
              <w:spacing w:lineRule="auto" w:line="276" w:beforeAutospacing="0" w:afterAutospacing="0"/>
              <w:ind w:firstLine="360"/>
              <w:jc w:val="center"/>
              <w:rPr>
                <w:sz w:val="24"/>
              </w:rPr>
            </w:pPr>
            <w:r>
              <w:rPr>
                <w:sz w:val="24"/>
              </w:rPr>
              <w:t>Annotation</w:t>
            </w:r>
          </w:p>
          <w:p>
            <w:pPr>
              <w:pStyle w:val="P1"/>
              <w:spacing w:lineRule="auto" w:line="276" w:beforeAutospacing="0" w:afterAutospacing="0"/>
              <w:ind w:firstLine="360"/>
              <w:rPr>
                <w:sz w:val="24"/>
              </w:rPr>
            </w:pPr>
            <w:r>
              <w:rPr>
                <w:sz w:val="24"/>
              </w:rPr>
              <w:t>The goal of the work. Evaluation of the thermal regime of the removable part of the transport container depending on the residual heat generation caused by the duration of the previous exposure of the heat-emitting assemblies in the exposure pools.</w:t>
            </w:r>
          </w:p>
          <w:p>
            <w:pPr>
              <w:pStyle w:val="P1"/>
              <w:spacing w:lineRule="auto" w:line="276" w:beforeAutospacing="0" w:afterAutospacing="0"/>
              <w:ind w:firstLine="360"/>
              <w:rPr>
                <w:sz w:val="24"/>
              </w:rPr>
            </w:pPr>
            <w:r>
              <w:rPr>
                <w:sz w:val="24"/>
              </w:rPr>
              <w:t>Research methods. Mathematical modeling, numerical solution of differential equations of heat transfer problems.</w:t>
            </w:r>
          </w:p>
          <w:p>
            <w:pPr>
              <w:pStyle w:val="P1"/>
              <w:spacing w:lineRule="auto" w:line="276" w:beforeAutospacing="0" w:afterAutospacing="0"/>
              <w:ind w:firstLine="360"/>
              <w:rPr>
                <w:sz w:val="24"/>
              </w:rPr>
            </w:pPr>
            <w:r>
              <w:rPr>
                <w:sz w:val="24"/>
              </w:rPr>
              <w:t>The results obtained. The temperature distribution in the storage basket of spent heat-releasing assemblies of WWER-1000 reactors of the transport container was obtained. Using the iterative method of modeling thermal processes, detailed temperature fields were obtained. The maximum temperatures in each zone are determined depending on the radius.</w:t>
            </w:r>
          </w:p>
          <w:p>
            <w:pPr>
              <w:pStyle w:val="P1"/>
              <w:spacing w:lineRule="auto" w:line="276" w:beforeAutospacing="0" w:afterAutospacing="0"/>
              <w:ind w:firstLine="360"/>
              <w:rPr>
                <w:sz w:val="24"/>
              </w:rPr>
            </w:pPr>
            <w:r>
              <w:rPr>
                <w:sz w:val="24"/>
              </w:rPr>
              <w:t>Scientific novelty. Using the iterative method of modeling thermal processes during dry storage of spent nuclear fuel, detailed information on thermal processes in the middle of the basket with spent fuel under normal operating conditions was obtained.</w:t>
            </w:r>
          </w:p>
          <w:p>
            <w:pPr>
              <w:pStyle w:val="P1"/>
              <w:spacing w:lineRule="auto" w:line="276" w:beforeAutospacing="0" w:afterAutospacing="0"/>
              <w:ind w:firstLine="360"/>
              <w:rPr>
                <w:sz w:val="24"/>
              </w:rPr>
            </w:pPr>
            <w:r>
              <w:rPr>
                <w:sz w:val="24"/>
              </w:rPr>
              <w:t>Practical value. The safety of storage of spent nuclear fuel of WWER-1000 reactors in a transport container has been confirmed. The obtained results are appropriate for use in the development and implementation of constructive and technological solutions regarding the creation or modernization of equipment for the storage of spent nuclear fuel of power reactors.</w:t>
            </w:r>
          </w:p>
          <w:p>
            <w:pPr>
              <w:pStyle w:val="P1"/>
              <w:shd w:val="clear" w:fill="auto"/>
              <w:spacing w:lineRule="auto" w:line="276" w:beforeAutospacing="0" w:afterAutospacing="0"/>
              <w:ind w:firstLine="360"/>
              <w:rPr>
                <w:sz w:val="24"/>
              </w:rPr>
            </w:pPr>
            <w:r>
              <w:rPr>
                <w:sz w:val="24"/>
              </w:rPr>
              <w:t>Keywords: nuclear power industry; spent nuclear fuel; dry storage transport container; fuel assemblies; thermal processes; problems of heat exchange; thermal conductivity coefficient.</w:t>
            </w:r>
          </w:p>
        </w:tc>
      </w:tr>
      <w:tr>
        <w:tc>
          <w:tcPr>
            <w:tcW w:w="9627" w:type="dxa"/>
          </w:tcPr>
          <w:p>
            <w:pPr>
              <w:ind w:left="360"/>
              <w:rPr>
                <w:rFonts w:ascii="Times New Roman" w:hAnsi="Times New Roman"/>
                <w:b w:val="1"/>
                <w:color w:val="auto"/>
                <w:sz w:val="20"/>
              </w:rPr>
            </w:pPr>
            <w:r>
              <w:rPr>
                <w:rFonts w:ascii="Times New Roman" w:hAnsi="Times New Roman"/>
                <w:b w:val="1"/>
                <w:color w:val="auto"/>
                <w:sz w:val="20"/>
              </w:rPr>
              <w:t>І. ВСТУП</w:t>
            </w:r>
          </w:p>
          <w:p>
            <w:pPr>
              <w:ind w:firstLine="369"/>
              <w:rPr>
                <w:rFonts w:ascii="Times New Roman" w:hAnsi="Times New Roman"/>
                <w:color w:val="auto"/>
              </w:rPr>
            </w:pPr>
            <w:r>
              <w:rPr>
                <w:rFonts w:ascii="Times New Roman" w:hAnsi="Times New Roman"/>
                <w:color w:val="auto"/>
              </w:rPr>
              <w:t>Атомна енергетика базується на основних принципах - безпека, економічність, доцільність. Перехід на паливні цикли із збільшеними початковим збагаченням та глибиною вигоряння ядерного палива, зумовлює підвищені вимоги безпеки до засобів поводження з відпрацьованим ядерним паливом (ВЯП). Життєвий цикл палива складається з трьох основних стадій: видобуток сировини та виготовлення робочого ресурсу, експлуатація ресурсу в реакторах та післяексплуатаційне зберігання з подальшою переробкою для захоронення відходів.</w:t>
            </w:r>
          </w:p>
          <w:p>
            <w:pPr>
              <w:ind w:firstLine="369"/>
              <w:rPr>
                <w:rFonts w:ascii="Times New Roman" w:hAnsi="Times New Roman"/>
                <w:color w:val="auto"/>
              </w:rPr>
            </w:pPr>
            <w:r>
              <w:rPr>
                <w:rFonts w:ascii="Times New Roman" w:hAnsi="Times New Roman"/>
                <w:color w:val="auto"/>
              </w:rPr>
              <w:t>Післяреакторні стадії поводження з ядерним паливом, що відпрацювало, припускають, поряд з витримуванням його в басейнах витримки, транспортування і зберігання різної тривалості в контейнерах. Транспортування ВЯП реакторних установок з АЕС на радіохімічні виробництва здійснюється з використанням транспортних пакувальних комплектів (ТПК).</w:t>
            </w:r>
          </w:p>
          <w:p>
            <w:pPr>
              <w:ind w:firstLine="369"/>
              <w:rPr>
                <w:rFonts w:ascii="Times New Roman" w:hAnsi="Times New Roman"/>
                <w:color w:val="auto"/>
              </w:rPr>
            </w:pPr>
            <w:r>
              <w:rPr>
                <w:rFonts w:ascii="Times New Roman" w:hAnsi="Times New Roman"/>
                <w:color w:val="auto"/>
              </w:rPr>
              <w:t>Контейнерами високого рівня, що використовуються в країнах Європи для зберігання та транспортування, є німецькі контейнери CASTOR з корпусами із високоміцного чавуну з кулястим графітом (розробка «GNB»), шведські ТУК PWR фірми «Karnbranslehantering AB», французькі ТУК типу TN фірми «Transnu» різних видів палива, що вивозиться до Франції на переробку та ряд російських комплектів для перевезення та зберігання ВЯП різного ступеня вигоряння.</w:t>
            </w:r>
          </w:p>
          <w:p>
            <w:pPr>
              <w:ind w:firstLine="369"/>
              <w:rPr>
                <w:rFonts w:ascii="Times New Roman" w:hAnsi="Times New Roman"/>
                <w:color w:val="auto"/>
              </w:rPr>
            </w:pPr>
            <w:r>
              <w:rPr>
                <w:rFonts w:ascii="Times New Roman" w:hAnsi="Times New Roman"/>
                <w:color w:val="auto"/>
              </w:rPr>
              <w:t>Конструкція контейнера повинна забезпечувати необхідну місткість палива, надійну фіксацію під час транспортування, радіаційний захист та допустимий тепловий режим.</w:t>
            </w:r>
          </w:p>
        </w:tc>
      </w:tr>
      <w:tr>
        <w:tc>
          <w:tcPr>
            <w:tcW w:w="9627" w:type="dxa"/>
          </w:tcPr>
          <w:p>
            <w:pPr>
              <w:keepNext w:val="1"/>
              <w:keepLines w:val="1"/>
              <w:spacing w:lineRule="auto" w:line="254" w:beforeAutospacing="0" w:afterAutospacing="0"/>
              <w:ind w:firstLine="360"/>
              <w:outlineLvl w:val="1"/>
              <w:rPr>
                <w:rFonts w:ascii="Times New Roman" w:hAnsi="Times New Roman"/>
                <w:b w:val="1"/>
                <w:color w:val="auto"/>
                <w:sz w:val="20"/>
              </w:rPr>
            </w:pPr>
            <w:r>
              <w:rPr>
                <w:rFonts w:ascii="Times New Roman" w:hAnsi="Times New Roman"/>
                <w:b w:val="1"/>
                <w:color w:val="auto"/>
                <w:sz w:val="20"/>
              </w:rPr>
              <w:t>II. АНАЛІЗ ДОСЛІДЖЕНЬ І ПУБЛІКАЦІЙ</w:t>
            </w:r>
          </w:p>
          <w:p>
            <w:pPr>
              <w:spacing w:lineRule="auto" w:line="271" w:beforeAutospacing="0" w:afterAutospacing="0"/>
              <w:ind w:firstLine="360"/>
              <w:rPr>
                <w:rFonts w:ascii="Times New Roman" w:hAnsi="Times New Roman"/>
                <w:color w:val="auto"/>
              </w:rPr>
            </w:pPr>
            <w:r>
              <w:rPr>
                <w:rFonts w:ascii="Times New Roman" w:hAnsi="Times New Roman"/>
                <w:color w:val="auto"/>
              </w:rPr>
              <w:t xml:space="preserve">Тепловий  режим утримання відпрацьованого ядерного палива в транспортному пакувальному комплекті (ТПК) є важливим показником безпеки поводження з матеріалами, генеруючими іонізуюче випромінювання. При розробці критеріїв безпеки сухих сховищ ВЯІІ, одним з яких є температура оболонок твелів, що входять до складу паливних збірок, важливим є створення таких умов експлуатації, коли гарантовано не відбудеться занадто велике підвищенім температури, що може руйнувати оболонку твела, та викликати спонтанну ланцюгову реакцію. </w:t>
            </w:r>
          </w:p>
          <w:p>
            <w:pPr>
              <w:spacing w:lineRule="auto" w:line="271" w:beforeAutospacing="0" w:afterAutospacing="0"/>
              <w:ind w:firstLine="360"/>
              <w:rPr>
                <w:rFonts w:ascii="Times New Roman" w:hAnsi="Times New Roman"/>
                <w:color w:val="auto"/>
              </w:rPr>
            </w:pPr>
            <w:r>
              <w:rPr>
                <w:rFonts w:ascii="Times New Roman" w:hAnsi="Times New Roman"/>
                <w:color w:val="auto"/>
              </w:rPr>
              <w:t xml:space="preserve">Дослідження теплового стану відпрацьованих паливних збірок при сухому зберіганні наведені в роботах[1—8]. Можна виділити два основних підходу до моделювання теплового стану відпрацьованих паливних збірок. Найбільш розповсюджений підхід базується на поданні збірки як суцільної конструкції з відповідними еквівалентними теплофізичними властивостями [1, 3-5]. В іншому підході застосовується детальний розгляд показників елементів конструкції виїмної частини контейнера і їх вклади у загальні значення. </w:t>
            </w:r>
          </w:p>
          <w:p>
            <w:pPr>
              <w:spacing w:lineRule="auto" w:line="271" w:beforeAutospacing="0" w:afterAutospacing="0"/>
              <w:ind w:firstLine="360"/>
              <w:rPr>
                <w:rFonts w:ascii="Times New Roman" w:hAnsi="Times New Roman"/>
                <w:color w:val="auto"/>
              </w:rPr>
            </w:pPr>
            <w:r>
              <w:rPr>
                <w:rFonts w:ascii="Times New Roman" w:hAnsi="Times New Roman"/>
                <w:color w:val="auto"/>
              </w:rPr>
              <w:t xml:space="preserve">Коли збірки представлені суцільними конструкціями з еквівалентними теплофізичними властивостями створюються додаткові гарантії безпеки, оскільки отримуванні результати мають дещо завищені значення через використання еквівалентного коефіцієнту теплопровідності. Складністю цього підходу є необхідність визначення еквівалентних теплофізичних властивостей. Насправді ці конструкції є об'єднанням твердотільних елементів з різними теплофізичними властивостями, а також включень рухомого середовища. </w:t>
            </w:r>
          </w:p>
          <w:p>
            <w:pPr>
              <w:spacing w:lineRule="auto" w:line="271" w:beforeAutospacing="0" w:afterAutospacing="0"/>
              <w:ind w:firstLine="360"/>
              <w:rPr>
                <w:rFonts w:ascii="Times New Roman" w:hAnsi="Times New Roman"/>
                <w:b w:val="1"/>
                <w:color w:val="auto"/>
              </w:rPr>
            </w:pPr>
            <w:r>
              <w:rPr>
                <w:rFonts w:ascii="Times New Roman" w:hAnsi="Times New Roman"/>
                <w:color w:val="auto"/>
              </w:rPr>
              <w:t xml:space="preserve">При врахуванні теплофізичних властивостей складових конструкції та середовища між конструкційними елементами значно підвищується необхідний об’єм розрахунків [3, 6-8].  Однак отримувані результати дозволяють оптимізувати конструкції і режими експлуатації.</w:t>
            </w:r>
          </w:p>
        </w:tc>
      </w:tr>
      <w:tr>
        <w:tc>
          <w:tcPr>
            <w:tcW w:w="9627" w:type="dxa"/>
          </w:tcPr>
          <w:p>
            <w:pPr>
              <w:keepNext w:val="1"/>
              <w:keepLines w:val="1"/>
              <w:ind w:left="360"/>
              <w:outlineLvl w:val="1"/>
              <w:rPr>
                <w:rFonts w:ascii="Times New Roman" w:hAnsi="Times New Roman"/>
                <w:b w:val="1"/>
                <w:color w:val="auto"/>
                <w:sz w:val="17"/>
              </w:rPr>
            </w:pPr>
            <w:r>
              <w:rPr>
                <w:rFonts w:ascii="Times New Roman" w:hAnsi="Times New Roman"/>
                <w:b w:val="1"/>
                <w:color w:val="auto"/>
                <w:sz w:val="17"/>
              </w:rPr>
              <w:t>III. МЕТА РОБОТИ</w:t>
            </w:r>
          </w:p>
          <w:p>
            <w:pPr>
              <w:ind w:firstLine="369"/>
              <w:rPr>
                <w:rFonts w:ascii="Times New Roman" w:hAnsi="Times New Roman"/>
                <w:b w:val="1"/>
                <w:color w:val="auto"/>
                <w:sz w:val="28"/>
              </w:rPr>
            </w:pPr>
            <w:r>
              <w:rPr>
                <w:rFonts w:ascii="Times New Roman" w:hAnsi="Times New Roman"/>
                <w:color w:val="auto"/>
              </w:rPr>
              <w:t>Оцінка теплового режиму виїмної частини транспортного контейнера залежно від залишкового тепловиділення, зумовленого тривалістю попереднього витримування збирання у басейнах витримки.</w:t>
            </w:r>
          </w:p>
        </w:tc>
      </w:tr>
      <w:tr>
        <w:tc>
          <w:tcPr>
            <w:tcW w:w="9627" w:type="dxa"/>
          </w:tcPr>
          <w:p>
            <w:pPr>
              <w:ind w:left="369"/>
              <w:rPr>
                <w:rFonts w:ascii="Times New Roman" w:hAnsi="Times New Roman"/>
                <w:b w:val="1"/>
                <w:color w:val="auto"/>
                <w:sz w:val="17"/>
              </w:rPr>
            </w:pPr>
            <w:r>
              <w:rPr>
                <w:rFonts w:ascii="Times New Roman" w:hAnsi="Times New Roman"/>
                <w:b w:val="1"/>
                <w:color w:val="auto"/>
                <w:sz w:val="17"/>
              </w:rPr>
              <w:t>IV. ОБ'ЄКТ ДОСЛІДЖЕННЯ</w:t>
            </w:r>
          </w:p>
          <w:p>
            <w:pPr>
              <w:ind w:firstLine="369"/>
              <w:rPr>
                <w:rFonts w:ascii="Times New Roman" w:hAnsi="Times New Roman"/>
                <w:color w:val="auto"/>
              </w:rPr>
            </w:pPr>
            <w:r>
              <w:rPr>
                <w:rFonts w:ascii="Times New Roman" w:hAnsi="Times New Roman"/>
                <w:color w:val="auto"/>
              </w:rPr>
              <w:t>Як об'єкт дослідження розглянуто перспективний транспортний пакувальний комплект ТУК-141 (розробка ВАТ «Інженерний центр ядерних контейнерів»). Призначення - транспортування з територій АЕС опромінених тепловиділяючих збірок енергоблоків ВВЕР із підвищеним збагаченням та вигорянням залізницями загального користування у горизонтальному положенні на спеціальному залізничному транспортері.</w:t>
            </w:r>
          </w:p>
          <w:p>
            <w:pPr>
              <w:rPr>
                <w:rFonts w:ascii="Times New Roman" w:hAnsi="Times New Roman"/>
                <w:color w:val="auto"/>
              </w:rPr>
            </w:pPr>
          </w:p>
          <w:tbl>
            <w:tblPr>
              <w:tblStyle w:val="T2"/>
              <w:tblW w:w="9639" w:type="dxa"/>
              <w:tblCellMar>
                <w:left w:w="28" w:type="dxa"/>
                <w:right w:w="28" w:type="dxa"/>
              </w:tblCellMar>
              <w:tblLook w:val="04A0"/>
            </w:tblPr>
            <w:tblGrid/>
            <w:tr>
              <w:tc>
                <w:tcPr>
                  <w:tcW w:w="2830" w:type="dxa"/>
                </w:tcPr>
                <w:p>
                  <w:pPr>
                    <w:pStyle w:val="P1"/>
                    <w:shd w:val="clear" w:fill="auto"/>
                    <w:spacing w:lineRule="auto" w:line="264" w:beforeAutospacing="0" w:afterAutospacing="0"/>
                    <w:ind w:firstLine="0"/>
                    <w:jc w:val="center"/>
                    <w:rPr>
                      <w:b w:val="1"/>
                    </w:rPr>
                  </w:pPr>
                  <w:r>
                    <w:drawing>
                      <wp:inline xmlns:wp="http://schemas.openxmlformats.org/drawingml/2006/wordprocessingDrawing">
                        <wp:extent cx="1625600" cy="226250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1625600" cy="2262505"/>
                                </a:xfrm>
                                <a:prstGeom prst="rect"/>
                                <a:noFill/>
                              </pic:spPr>
                            </pic:pic>
                          </a:graphicData>
                        </a:graphic>
                      </wp:inline>
                    </w:drawing>
                  </w:r>
                </w:p>
                <w:p>
                  <w:pPr>
                    <w:pStyle w:val="P1"/>
                    <w:shd w:val="clear" w:fill="auto"/>
                    <w:spacing w:lineRule="auto" w:line="264" w:beforeAutospacing="0" w:afterAutospacing="0"/>
                    <w:ind w:firstLine="0"/>
                    <w:jc w:val="center"/>
                    <w:rPr>
                      <w:noProof w:val="1"/>
                      <w:sz w:val="2"/>
                    </w:rPr>
                  </w:pPr>
                  <w:r>
                    <w:rPr>
                      <w:sz w:val="20"/>
                    </w:rPr>
                    <w:t xml:space="preserve">Рис.1.  </w:t>
                  </w:r>
                  <w:r>
                    <w:t>ТУК-141.</w:t>
                  </w:r>
                </w:p>
                <w:p>
                  <w:pPr>
                    <w:pStyle w:val="P1"/>
                    <w:shd w:val="clear" w:fill="auto"/>
                    <w:spacing w:lineRule="auto" w:line="264" w:beforeAutospacing="0" w:afterAutospacing="0"/>
                    <w:ind w:firstLine="0"/>
                    <w:jc w:val="center"/>
                    <w:rPr>
                      <w:b w:val="1"/>
                    </w:rPr>
                  </w:pPr>
                </w:p>
              </w:tc>
              <w:tc>
                <w:tcPr>
                  <w:tcW w:w="6809" w:type="dxa"/>
                </w:tcPr>
                <w:p>
                  <w:pPr>
                    <w:pStyle w:val="P1"/>
                    <w:shd w:val="clear" w:fill="auto"/>
                    <w:spacing w:lineRule="auto" w:line="264" w:beforeAutospacing="0" w:afterAutospacing="0"/>
                    <w:ind w:firstLine="0"/>
                  </w:pPr>
                  <w:r>
                    <w:rPr>
                      <w:b w:val="1"/>
                    </w:rPr>
                    <w:t xml:space="preserve">1. Корпус - </w:t>
                  </w:r>
                  <w:r>
                    <w:t>високоміцний чавун із кулястим графітом</w:t>
                  </w:r>
                </w:p>
                <w:p>
                  <w:pPr>
                    <w:rPr>
                      <w:rFonts w:ascii="Times New Roman" w:hAnsi="Times New Roman"/>
                      <w:color w:val="auto"/>
                    </w:rPr>
                  </w:pPr>
                  <w:r>
                    <w:rPr>
                      <w:rFonts w:ascii="Times New Roman" w:hAnsi="Times New Roman"/>
                      <w:b w:val="1"/>
                      <w:color w:val="auto"/>
                    </w:rPr>
                    <w:t xml:space="preserve">2. Чохол - </w:t>
                  </w:r>
                  <w:r>
                    <w:rPr>
                      <w:rFonts w:ascii="Times New Roman" w:hAnsi="Times New Roman"/>
                      <w:color w:val="auto"/>
                    </w:rPr>
                    <w:t>нержавіюча та борована сталь</w:t>
                  </w:r>
                </w:p>
                <w:p>
                  <w:pPr>
                    <w:rPr>
                      <w:rFonts w:ascii="Times New Roman" w:hAnsi="Times New Roman"/>
                      <w:color w:val="auto"/>
                      <w:sz w:val="22"/>
                    </w:rPr>
                  </w:pPr>
                  <w:r>
                    <w:rPr>
                      <w:rFonts w:ascii="Times New Roman" w:hAnsi="Times New Roman"/>
                      <w:b w:val="1"/>
                      <w:color w:val="auto"/>
                      <w:sz w:val="22"/>
                    </w:rPr>
                    <w:t>3.</w:t>
                  </w:r>
                  <w:r>
                    <w:rPr>
                      <w:rFonts w:ascii="Times New Roman" w:hAnsi="Times New Roman"/>
                      <w:color w:val="auto"/>
                      <w:sz w:val="22"/>
                    </w:rPr>
                    <w:t xml:space="preserve"> </w:t>
                  </w:r>
                  <w:r>
                    <w:rPr>
                      <w:rFonts w:ascii="Times New Roman" w:hAnsi="Times New Roman"/>
                      <w:b w:val="1"/>
                      <w:color w:val="auto"/>
                      <w:sz w:val="22"/>
                    </w:rPr>
                    <w:t xml:space="preserve">Твердий </w:t>
                  </w:r>
                  <w:r>
                    <w:rPr>
                      <w:rFonts w:ascii="Times New Roman" w:hAnsi="Times New Roman"/>
                      <w:color w:val="auto"/>
                      <w:sz w:val="22"/>
                    </w:rPr>
                    <w:t>нейтронний захист</w:t>
                  </w:r>
                </w:p>
                <w:p>
                  <w:pPr>
                    <w:rPr>
                      <w:rFonts w:ascii="Times New Roman" w:hAnsi="Times New Roman"/>
                      <w:color w:val="auto"/>
                      <w:sz w:val="22"/>
                    </w:rPr>
                  </w:pPr>
                  <w:r>
                    <w:rPr>
                      <w:rFonts w:ascii="Times New Roman" w:hAnsi="Times New Roman"/>
                      <w:color w:val="auto"/>
                      <w:sz w:val="22"/>
                    </w:rPr>
                    <w:t xml:space="preserve">Таблиця 1. Характеристики </w:t>
                  </w:r>
                  <w:r>
                    <w:rPr>
                      <w:rFonts w:ascii="Times New Roman" w:hAnsi="Times New Roman"/>
                      <w:color w:val="auto"/>
                    </w:rPr>
                    <w:t>ТУК-141</w:t>
                  </w:r>
                </w:p>
                <w:tbl>
                  <w:tblPr>
                    <w:tblOverlap w:val="never"/>
                    <w:tblW w:w="5847" w:type="dxa"/>
                    <w:jc w:val="center"/>
                    <w:tblCellMar>
                      <w:left w:w="10" w:type="dxa"/>
                      <w:right w:w="10" w:type="dxa"/>
                    </w:tblCellMar>
                    <w:tblLook w:val="04A0"/>
                  </w:tblPr>
                  <w:tblGrid/>
                  <w:tr>
                    <w:trPr>
                      <w:trHeight w:hRule="atLeast" w:val="20"/>
                      <w:jc w:val="center"/>
                    </w:trPr>
                    <w:tc>
                      <w:tcPr>
                        <w:tcW w:w="4571" w:type="dxa"/>
                        <w:shd w:val="clear" w:color="auto" w:fill="FFFFFF"/>
                      </w:tcPr>
                      <w:p>
                        <w:pPr>
                          <w:pStyle w:val="P3"/>
                          <w:shd w:val="clear" w:fill="auto"/>
                          <w:ind w:firstLine="0"/>
                          <w:rPr>
                            <w:sz w:val="20"/>
                          </w:rPr>
                        </w:pPr>
                        <w:r>
                          <w:rPr>
                            <w:sz w:val="20"/>
                          </w:rPr>
                          <w:t>Місткість по ВТВЗ, шт.</w:t>
                        </w:r>
                      </w:p>
                    </w:tc>
                    <w:tc>
                      <w:tcPr>
                        <w:tcW w:w="1276" w:type="dxa"/>
                        <w:shd w:val="clear" w:color="auto" w:fill="FFFFFF"/>
                        <w:vAlign w:val="center"/>
                      </w:tcPr>
                      <w:p>
                        <w:pPr>
                          <w:pStyle w:val="P3"/>
                          <w:shd w:val="clear" w:fill="auto"/>
                          <w:ind w:firstLine="0"/>
                          <w:jc w:val="center"/>
                          <w:rPr>
                            <w:sz w:val="20"/>
                          </w:rPr>
                        </w:pPr>
                        <w:r>
                          <w:rPr>
                            <w:sz w:val="20"/>
                          </w:rPr>
                          <w:t>18</w:t>
                        </w:r>
                      </w:p>
                    </w:tc>
                  </w:tr>
                  <w:tr>
                    <w:trPr>
                      <w:trHeight w:hRule="atLeast" w:val="20"/>
                      <w:jc w:val="center"/>
                    </w:trPr>
                    <w:tc>
                      <w:tcPr>
                        <w:tcW w:w="4571" w:type="dxa"/>
                        <w:shd w:val="clear" w:color="auto" w:fill="FFFFFF"/>
                        <w:vAlign w:val="center"/>
                      </w:tcPr>
                      <w:p>
                        <w:pPr>
                          <w:pStyle w:val="P3"/>
                          <w:shd w:val="clear" w:fill="auto"/>
                          <w:ind w:firstLine="0"/>
                          <w:rPr>
                            <w:sz w:val="20"/>
                          </w:rPr>
                        </w:pPr>
                        <w:r>
                          <w:rPr>
                            <w:sz w:val="20"/>
                          </w:rPr>
                          <w:t>Термін служби ТУК, років</w:t>
                        </w:r>
                      </w:p>
                    </w:tc>
                    <w:tc>
                      <w:tcPr>
                        <w:tcW w:w="1276" w:type="dxa"/>
                        <w:shd w:val="clear" w:color="auto" w:fill="FFFFFF"/>
                        <w:vAlign w:val="center"/>
                      </w:tcPr>
                      <w:p>
                        <w:pPr>
                          <w:pStyle w:val="P3"/>
                          <w:shd w:val="clear" w:fill="auto"/>
                          <w:ind w:firstLine="0"/>
                          <w:jc w:val="center"/>
                          <w:rPr>
                            <w:sz w:val="20"/>
                          </w:rPr>
                        </w:pPr>
                        <w:r>
                          <w:rPr>
                            <w:sz w:val="20"/>
                          </w:rPr>
                          <w:t>60</w:t>
                        </w:r>
                      </w:p>
                    </w:tc>
                  </w:tr>
                  <w:tr>
                    <w:trPr>
                      <w:trHeight w:hRule="atLeast" w:val="20"/>
                      <w:jc w:val="center"/>
                    </w:trPr>
                    <w:tc>
                      <w:tcPr>
                        <w:tcW w:w="4571" w:type="dxa"/>
                        <w:shd w:val="clear" w:color="auto" w:fill="FFFFFF"/>
                        <w:vAlign w:val="center"/>
                      </w:tcPr>
                      <w:p>
                        <w:pPr>
                          <w:pStyle w:val="P3"/>
                          <w:shd w:val="clear" w:fill="auto"/>
                          <w:ind w:firstLine="0"/>
                          <w:rPr>
                            <w:sz w:val="20"/>
                          </w:rPr>
                        </w:pPr>
                        <w:r>
                          <w:rPr>
                            <w:sz w:val="20"/>
                          </w:rPr>
                          <w:t>Тривалість зберігання ВЯП, років</w:t>
                        </w:r>
                      </w:p>
                    </w:tc>
                    <w:tc>
                      <w:tcPr>
                        <w:tcW w:w="1276" w:type="dxa"/>
                        <w:shd w:val="clear" w:color="auto" w:fill="FFFFFF"/>
                        <w:vAlign w:val="center"/>
                      </w:tcPr>
                      <w:p>
                        <w:pPr>
                          <w:pStyle w:val="P3"/>
                          <w:shd w:val="clear" w:fill="auto"/>
                          <w:ind w:firstLine="0"/>
                          <w:jc w:val="center"/>
                          <w:rPr>
                            <w:sz w:val="20"/>
                          </w:rPr>
                        </w:pPr>
                        <w:r>
                          <w:rPr>
                            <w:sz w:val="20"/>
                          </w:rPr>
                          <w:t>60</w:t>
                        </w:r>
                      </w:p>
                    </w:tc>
                  </w:tr>
                  <w:tr>
                    <w:trPr>
                      <w:trHeight w:hRule="atLeast" w:val="20"/>
                      <w:jc w:val="center"/>
                    </w:trPr>
                    <w:tc>
                      <w:tcPr>
                        <w:tcW w:w="4571" w:type="dxa"/>
                        <w:shd w:val="clear" w:color="auto" w:fill="FFFFFF"/>
                      </w:tcPr>
                      <w:p>
                        <w:pPr>
                          <w:rPr>
                            <w:rFonts w:ascii="Times New Roman" w:hAnsi="Times New Roman"/>
                            <w:color w:val="auto"/>
                            <w:sz w:val="20"/>
                          </w:rPr>
                        </w:pPr>
                        <w:r>
                          <w:rPr>
                            <w:rFonts w:ascii="Times New Roman" w:hAnsi="Times New Roman"/>
                            <w:color w:val="auto"/>
                            <w:sz w:val="20"/>
                          </w:rPr>
                          <w:t>Діапазон температури під час експлуатації ТУК, °С</w:t>
                        </w:r>
                      </w:p>
                    </w:tc>
                    <w:tc>
                      <w:tcPr>
                        <w:tcW w:w="1276" w:type="dxa"/>
                        <w:shd w:val="clear" w:color="auto" w:fill="FFFFFF"/>
                        <w:vAlign w:val="center"/>
                      </w:tcPr>
                      <w:p>
                        <w:pPr>
                          <w:pStyle w:val="P3"/>
                          <w:shd w:val="clear" w:fill="auto"/>
                          <w:ind w:firstLine="0"/>
                          <w:jc w:val="center"/>
                          <w:rPr>
                            <w:sz w:val="20"/>
                          </w:rPr>
                        </w:pPr>
                      </w:p>
                    </w:tc>
                  </w:tr>
                  <w:tr>
                    <w:trPr>
                      <w:trHeight w:hRule="atLeast" w:val="20"/>
                      <w:jc w:val="center"/>
                    </w:trPr>
                    <w:tc>
                      <w:tcPr>
                        <w:tcW w:w="4571" w:type="dxa"/>
                        <w:shd w:val="clear" w:color="auto" w:fill="FFFFFF"/>
                      </w:tcPr>
                      <w:p>
                        <w:pPr>
                          <w:rPr>
                            <w:rFonts w:ascii="Times New Roman" w:hAnsi="Times New Roman"/>
                            <w:color w:val="auto"/>
                            <w:sz w:val="20"/>
                          </w:rPr>
                        </w:pPr>
                        <w:r>
                          <w:rPr>
                            <w:rFonts w:ascii="Times New Roman" w:hAnsi="Times New Roman"/>
                            <w:color w:val="auto"/>
                            <w:sz w:val="20"/>
                          </w:rPr>
                          <w:t>глибина вигоряння палива, ГВт-добу/т</w:t>
                        </w:r>
                      </w:p>
                    </w:tc>
                    <w:tc>
                      <w:tcPr>
                        <w:tcW w:w="1276" w:type="dxa"/>
                        <w:shd w:val="clear" w:color="auto" w:fill="FFFFFF"/>
                        <w:vAlign w:val="center"/>
                      </w:tcPr>
                      <w:p>
                        <w:pPr>
                          <w:pStyle w:val="P3"/>
                          <w:shd w:val="clear" w:fill="auto"/>
                          <w:ind w:firstLine="0"/>
                          <w:jc w:val="center"/>
                          <w:rPr>
                            <w:sz w:val="20"/>
                          </w:rPr>
                        </w:pPr>
                        <w:r>
                          <w:rPr>
                            <w:sz w:val="20"/>
                          </w:rPr>
                          <w:t>до 68</w:t>
                        </w:r>
                      </w:p>
                    </w:tc>
                  </w:tr>
                  <w:tr>
                    <w:trPr>
                      <w:trHeight w:hRule="atLeast" w:val="20"/>
                      <w:jc w:val="center"/>
                    </w:trPr>
                    <w:tc>
                      <w:tcPr>
                        <w:tcW w:w="4571" w:type="dxa"/>
                        <w:shd w:val="clear" w:color="auto" w:fill="FFFFFF"/>
                      </w:tcPr>
                      <w:p>
                        <w:pPr>
                          <w:rPr>
                            <w:rFonts w:ascii="Times New Roman" w:hAnsi="Times New Roman"/>
                            <w:color w:val="auto"/>
                            <w:sz w:val="20"/>
                          </w:rPr>
                        </w:pPr>
                        <w:r>
                          <w:rPr>
                            <w:rFonts w:ascii="Times New Roman" w:hAnsi="Times New Roman"/>
                            <w:color w:val="auto"/>
                            <w:sz w:val="20"/>
                          </w:rPr>
                          <w:t>(нормативний діапазон)</w:t>
                        </w:r>
                      </w:p>
                    </w:tc>
                    <w:tc>
                      <w:tcPr>
                        <w:tcW w:w="1276" w:type="dxa"/>
                        <w:shd w:val="clear" w:color="auto" w:fill="FFFFFF"/>
                        <w:vAlign w:val="center"/>
                      </w:tcPr>
                      <w:p>
                        <w:pPr>
                          <w:pStyle w:val="P3"/>
                          <w:shd w:val="clear" w:fill="auto"/>
                          <w:ind w:firstLine="0"/>
                          <w:jc w:val="center"/>
                          <w:rPr>
                            <w:sz w:val="20"/>
                          </w:rPr>
                        </w:pPr>
                        <w:r>
                          <w:rPr>
                            <w:sz w:val="20"/>
                          </w:rPr>
                          <w:t>- 40°С - +38°С</w:t>
                        </w:r>
                      </w:p>
                    </w:tc>
                  </w:tr>
                  <w:tr>
                    <w:trPr>
                      <w:trHeight w:hRule="atLeast" w:val="20"/>
                      <w:jc w:val="center"/>
                    </w:trPr>
                    <w:tc>
                      <w:tcPr>
                        <w:tcW w:w="4571" w:type="dxa"/>
                        <w:shd w:val="clear" w:color="auto" w:fill="FFFFFF"/>
                      </w:tcPr>
                      <w:p>
                        <w:pPr>
                          <w:rPr>
                            <w:rFonts w:ascii="Times New Roman" w:hAnsi="Times New Roman"/>
                            <w:color w:val="auto"/>
                            <w:sz w:val="20"/>
                          </w:rPr>
                        </w:pPr>
                        <w:r>
                          <w:rPr>
                            <w:rFonts w:ascii="Times New Roman" w:hAnsi="Times New Roman"/>
                            <w:color w:val="auto"/>
                            <w:sz w:val="20"/>
                          </w:rPr>
                          <w:t>(досліджений діапазон)</w:t>
                        </w:r>
                      </w:p>
                    </w:tc>
                    <w:tc>
                      <w:tcPr>
                        <w:tcW w:w="1276" w:type="dxa"/>
                        <w:shd w:val="clear" w:color="auto" w:fill="FFFFFF"/>
                        <w:vAlign w:val="center"/>
                      </w:tcPr>
                      <w:p>
                        <w:pPr>
                          <w:pStyle w:val="P3"/>
                          <w:shd w:val="clear" w:fill="auto"/>
                          <w:ind w:firstLine="0"/>
                          <w:jc w:val="center"/>
                          <w:rPr>
                            <w:sz w:val="20"/>
                          </w:rPr>
                        </w:pPr>
                        <w:r>
                          <w:rPr>
                            <w:sz w:val="20"/>
                          </w:rPr>
                          <w:t>- 60°С -+50</w:t>
                        </w:r>
                        <w:r>
                          <w:rPr>
                            <w:sz w:val="20"/>
                            <w:vertAlign w:val="superscript"/>
                          </w:rPr>
                          <w:t>в</w:t>
                        </w:r>
                        <w:r>
                          <w:rPr>
                            <w:sz w:val="20"/>
                          </w:rPr>
                          <w:t>С</w:t>
                        </w:r>
                      </w:p>
                    </w:tc>
                  </w:tr>
                  <w:tr>
                    <w:trPr>
                      <w:trHeight w:hRule="atLeast" w:val="20"/>
                      <w:jc w:val="center"/>
                    </w:trPr>
                    <w:tc>
                      <w:tcPr>
                        <w:tcW w:w="4571" w:type="dxa"/>
                        <w:shd w:val="clear" w:color="auto" w:fill="FFFFFF"/>
                      </w:tcPr>
                      <w:p>
                        <w:pPr>
                          <w:rPr>
                            <w:rFonts w:ascii="Times New Roman" w:hAnsi="Times New Roman"/>
                            <w:color w:val="auto"/>
                            <w:sz w:val="20"/>
                          </w:rPr>
                        </w:pPr>
                        <w:r>
                          <w:rPr>
                            <w:rFonts w:ascii="Times New Roman" w:hAnsi="Times New Roman"/>
                            <w:color w:val="auto"/>
                            <w:sz w:val="20"/>
                          </w:rPr>
                          <w:t>Повна маса (з ВТВЗ) ТУК з демпферами, т</w:t>
                        </w:r>
                      </w:p>
                    </w:tc>
                    <w:tc>
                      <w:tcPr>
                        <w:tcW w:w="1276" w:type="dxa"/>
                        <w:shd w:val="clear" w:color="auto" w:fill="FFFFFF"/>
                        <w:vAlign w:val="center"/>
                      </w:tcPr>
                      <w:p>
                        <w:pPr>
                          <w:pStyle w:val="P3"/>
                          <w:shd w:val="clear" w:fill="auto"/>
                          <w:ind w:firstLine="0"/>
                          <w:jc w:val="center"/>
                          <w:rPr>
                            <w:sz w:val="20"/>
                          </w:rPr>
                        </w:pPr>
                        <w:r>
                          <w:rPr>
                            <w:sz w:val="20"/>
                          </w:rPr>
                          <w:t>До 125</w:t>
                        </w:r>
                      </w:p>
                    </w:tc>
                  </w:tr>
                  <w:tr>
                    <w:trPr>
                      <w:trHeight w:hRule="atLeast" w:val="20"/>
                      <w:jc w:val="center"/>
                    </w:trPr>
                    <w:tc>
                      <w:tcPr>
                        <w:tcW w:w="4571" w:type="dxa"/>
                        <w:shd w:val="clear" w:color="auto" w:fill="FFFFFF"/>
                      </w:tcPr>
                      <w:p>
                        <w:pPr>
                          <w:rPr>
                            <w:rFonts w:ascii="Times New Roman" w:hAnsi="Times New Roman"/>
                            <w:color w:val="auto"/>
                            <w:sz w:val="20"/>
                          </w:rPr>
                        </w:pPr>
                        <w:r>
                          <w:rPr>
                            <w:rFonts w:ascii="Times New Roman" w:hAnsi="Times New Roman"/>
                            <w:color w:val="auto"/>
                            <w:sz w:val="20"/>
                          </w:rPr>
                          <w:t>Маса порожнього ТУК з демпферами, т</w:t>
                        </w:r>
                      </w:p>
                    </w:tc>
                    <w:tc>
                      <w:tcPr>
                        <w:tcW w:w="1276" w:type="dxa"/>
                        <w:shd w:val="clear" w:color="auto" w:fill="FFFFFF"/>
                        <w:vAlign w:val="center"/>
                      </w:tcPr>
                      <w:p>
                        <w:pPr>
                          <w:pStyle w:val="P3"/>
                          <w:shd w:val="clear" w:fill="auto"/>
                          <w:ind w:firstLine="0"/>
                          <w:jc w:val="center"/>
                          <w:rPr>
                            <w:sz w:val="20"/>
                          </w:rPr>
                        </w:pPr>
                        <w:r>
                          <w:rPr>
                            <w:sz w:val="20"/>
                          </w:rPr>
                          <w:t>98</w:t>
                        </w:r>
                      </w:p>
                    </w:tc>
                  </w:tr>
                  <w:tr>
                    <w:trPr>
                      <w:trHeight w:hRule="atLeast" w:val="20"/>
                      <w:jc w:val="center"/>
                    </w:trPr>
                    <w:tc>
                      <w:tcPr>
                        <w:tcW w:w="4571" w:type="dxa"/>
                        <w:shd w:val="clear" w:color="auto" w:fill="FFFFFF"/>
                      </w:tcPr>
                      <w:p>
                        <w:pPr>
                          <w:rPr>
                            <w:rFonts w:ascii="Times New Roman" w:hAnsi="Times New Roman"/>
                            <w:color w:val="auto"/>
                            <w:sz w:val="20"/>
                          </w:rPr>
                        </w:pPr>
                        <w:r>
                          <w:rPr>
                            <w:rFonts w:ascii="Times New Roman" w:hAnsi="Times New Roman"/>
                            <w:color w:val="auto"/>
                            <w:sz w:val="20"/>
                          </w:rPr>
                          <w:t>Макс, висота з демпферами (без демпферів), мм</w:t>
                        </w:r>
                      </w:p>
                    </w:tc>
                    <w:tc>
                      <w:tcPr>
                        <w:tcW w:w="1276" w:type="dxa"/>
                        <w:shd w:val="clear" w:color="auto" w:fill="FFFFFF"/>
                        <w:vAlign w:val="center"/>
                      </w:tcPr>
                      <w:p>
                        <w:pPr>
                          <w:pStyle w:val="P3"/>
                          <w:shd w:val="clear" w:fill="auto"/>
                          <w:ind w:firstLine="0"/>
                          <w:jc w:val="center"/>
                          <w:rPr>
                            <w:sz w:val="20"/>
                          </w:rPr>
                        </w:pPr>
                        <w:r>
                          <w:rPr>
                            <w:sz w:val="20"/>
                          </w:rPr>
                          <w:t>7120 (5860)</w:t>
                        </w:r>
                      </w:p>
                    </w:tc>
                  </w:tr>
                  <w:tr>
                    <w:trPr>
                      <w:trHeight w:hRule="atLeast" w:val="20"/>
                      <w:jc w:val="center"/>
                    </w:trPr>
                    <w:tc>
                      <w:tcPr>
                        <w:tcW w:w="4571" w:type="dxa"/>
                        <w:shd w:val="clear" w:color="auto" w:fill="FFFFFF"/>
                      </w:tcPr>
                      <w:p>
                        <w:pPr>
                          <w:rPr>
                            <w:rFonts w:ascii="Times New Roman" w:hAnsi="Times New Roman"/>
                            <w:color w:val="auto"/>
                            <w:sz w:val="20"/>
                          </w:rPr>
                        </w:pPr>
                        <w:r>
                          <w:rPr>
                            <w:rFonts w:ascii="Times New Roman" w:hAnsi="Times New Roman"/>
                            <w:color w:val="auto"/>
                            <w:sz w:val="20"/>
                          </w:rPr>
                          <w:t>Макс, діаметр з демпферами (без демпферів), мм</w:t>
                        </w:r>
                      </w:p>
                    </w:tc>
                    <w:tc>
                      <w:tcPr>
                        <w:tcW w:w="1276" w:type="dxa"/>
                        <w:shd w:val="clear" w:color="auto" w:fill="FFFFFF"/>
                        <w:vAlign w:val="center"/>
                      </w:tcPr>
                      <w:p>
                        <w:pPr>
                          <w:pStyle w:val="P3"/>
                          <w:shd w:val="clear" w:fill="auto"/>
                          <w:ind w:firstLine="0"/>
                          <w:jc w:val="center"/>
                          <w:rPr>
                            <w:sz w:val="20"/>
                          </w:rPr>
                        </w:pPr>
                        <w:r>
                          <w:rPr>
                            <w:sz w:val="20"/>
                          </w:rPr>
                          <w:t>3120 (2770)</w:t>
                        </w:r>
                      </w:p>
                    </w:tc>
                  </w:tr>
                </w:tbl>
                <w:p>
                  <w:pPr>
                    <w:pStyle w:val="P1"/>
                    <w:shd w:val="clear" w:fill="auto"/>
                    <w:spacing w:lineRule="auto" w:line="264" w:beforeAutospacing="0" w:afterAutospacing="0"/>
                    <w:ind w:firstLine="0"/>
                    <w:rPr>
                      <w:b w:val="1"/>
                      <w:sz w:val="24"/>
                    </w:rPr>
                  </w:pPr>
                </w:p>
              </w:tc>
            </w:tr>
          </w:tbl>
          <w:p>
            <w:pPr>
              <w:rPr>
                <w:rFonts w:ascii="Times New Roman" w:hAnsi="Times New Roman"/>
                <w:color w:val="auto"/>
                <w:sz w:val="20"/>
              </w:rPr>
            </w:pPr>
          </w:p>
          <w:p>
            <w:pPr>
              <w:rPr>
                <w:rFonts w:ascii="Times New Roman" w:hAnsi="Times New Roman"/>
                <w:color w:val="auto"/>
              </w:rPr>
            </w:pPr>
            <w:r>
              <w:rPr>
                <w:rFonts w:ascii="Times New Roman" w:hAnsi="Times New Roman"/>
                <w:color w:val="auto"/>
              </w:rPr>
              <w:t>Комплект забезпечує довготривале зберігання ВТВЗ у вертикальному положенні у контейнерному сховищі або на контейнерному майданчику. Допускається модифікації під клімат та параметри палива. Базова технологія передбачає розміщення тепловиділяючих збірок ВВЕР-1000. ТВС ВВЕР-1000 являє собою активну конструкцію з 312 ТВЕЛів, закріплених в каркасі з 18 напрямних каналів, 15 дистанційних та однієї нижньої ґрати.</w:t>
            </w:r>
          </w:p>
          <w:p>
            <w:pPr>
              <w:rPr>
                <w:rFonts w:ascii="Times New Roman" w:hAnsi="Times New Roman"/>
                <w:color w:val="auto"/>
              </w:rPr>
            </w:pPr>
          </w:p>
          <w:p>
            <w:pPr>
              <w:jc w:val="center"/>
              <w:rPr>
                <w:rFonts w:ascii="Times New Roman" w:hAnsi="Times New Roman"/>
                <w:color w:val="auto"/>
              </w:rPr>
            </w:pPr>
            <w:r>
              <w:rPr>
                <w:rFonts w:ascii="Times New Roman" w:hAnsi="Times New Roman"/>
                <w:color w:val="auto"/>
              </w:rPr>
              <w:t>Таблиця 2. Характеристики тепловиділяючих зборок ВВЕР-1000</w:t>
            </w:r>
          </w:p>
          <w:tbl>
            <w:tblPr>
              <w:tblStyle w:val="T2"/>
              <w:tblW w:w="0" w:type="auto"/>
              <w:jc w:val="center"/>
              <w:tblCellMar>
                <w:left w:w="28" w:type="dxa"/>
                <w:right w:w="28" w:type="dxa"/>
              </w:tblCellMar>
              <w:tblLook w:val="04A0"/>
            </w:tblPr>
            <w:tblGrid/>
            <w:tr>
              <w:trPr>
                <w:jc w:val="center"/>
              </w:trPr>
              <w:tc>
                <w:tcPr>
                  <w:tcW w:w="4387" w:type="dxa"/>
                  <w:vMerge w:val="restart"/>
                  <w:vAlign w:val="center"/>
                </w:tcPr>
                <w:p>
                  <w:pPr>
                    <w:jc w:val="center"/>
                    <w:rPr>
                      <w:rFonts w:ascii="Times New Roman" w:hAnsi="Times New Roman"/>
                      <w:color w:val="auto"/>
                      <w:sz w:val="20"/>
                    </w:rPr>
                  </w:pPr>
                  <w:r>
                    <w:rPr>
                      <w:rFonts w:ascii="Times New Roman" w:hAnsi="Times New Roman"/>
                      <w:color w:val="auto"/>
                      <w:sz w:val="20"/>
                    </w:rPr>
                    <w:t>Характеристики</w:t>
                  </w:r>
                </w:p>
              </w:tc>
              <w:tc>
                <w:tcPr>
                  <w:tcW w:w="2696" w:type="dxa"/>
                  <w:gridSpan w:val="3"/>
                  <w:vAlign w:val="center"/>
                </w:tcPr>
                <w:p>
                  <w:pPr>
                    <w:jc w:val="center"/>
                    <w:rPr>
                      <w:rFonts w:ascii="Times New Roman" w:hAnsi="Times New Roman"/>
                      <w:color w:val="auto"/>
                      <w:sz w:val="20"/>
                    </w:rPr>
                  </w:pPr>
                  <w:r>
                    <w:rPr>
                      <w:rFonts w:ascii="Times New Roman" w:hAnsi="Times New Roman"/>
                      <w:color w:val="auto"/>
                      <w:sz w:val="20"/>
                    </w:rPr>
                    <w:t>ВВЕР-1000</w:t>
                  </w:r>
                </w:p>
              </w:tc>
            </w:tr>
            <w:tr>
              <w:trPr>
                <w:jc w:val="center"/>
              </w:trPr>
              <w:tc>
                <w:tcPr>
                  <w:tcW w:w="4387" w:type="dxa"/>
                  <w:vMerge w:val="continue"/>
                  <w:vAlign w:val="center"/>
                </w:tcPr>
                <w:p>
                  <w:pPr>
                    <w:jc w:val="center"/>
                    <w:rPr>
                      <w:rFonts w:ascii="Times New Roman" w:hAnsi="Times New Roman"/>
                      <w:color w:val="auto"/>
                      <w:sz w:val="20"/>
                    </w:rPr>
                  </w:pPr>
                </w:p>
              </w:tc>
              <w:tc>
                <w:tcPr>
                  <w:tcW w:w="711" w:type="dxa"/>
                  <w:vAlign w:val="center"/>
                </w:tcPr>
                <w:p>
                  <w:pPr>
                    <w:jc w:val="center"/>
                    <w:rPr>
                      <w:rFonts w:ascii="Times New Roman" w:hAnsi="Times New Roman"/>
                      <w:color w:val="auto"/>
                      <w:sz w:val="20"/>
                    </w:rPr>
                  </w:pPr>
                  <w:r>
                    <w:rPr>
                      <w:rFonts w:ascii="Times New Roman" w:hAnsi="Times New Roman"/>
                      <w:color w:val="auto"/>
                      <w:sz w:val="20"/>
                    </w:rPr>
                    <w:t>ТВС</w:t>
                  </w:r>
                </w:p>
              </w:tc>
              <w:tc>
                <w:tcPr>
                  <w:tcW w:w="709" w:type="dxa"/>
                  <w:vAlign w:val="center"/>
                </w:tcPr>
                <w:p>
                  <w:pPr>
                    <w:jc w:val="center"/>
                    <w:rPr>
                      <w:rFonts w:ascii="Times New Roman" w:hAnsi="Times New Roman"/>
                      <w:color w:val="auto"/>
                      <w:sz w:val="20"/>
                    </w:rPr>
                  </w:pPr>
                  <w:r>
                    <w:rPr>
                      <w:rFonts w:ascii="Times New Roman" w:hAnsi="Times New Roman"/>
                      <w:color w:val="auto"/>
                      <w:sz w:val="20"/>
                    </w:rPr>
                    <w:t>ТВСА</w:t>
                  </w:r>
                </w:p>
              </w:tc>
              <w:tc>
                <w:tcPr>
                  <w:tcW w:w="1276" w:type="dxa"/>
                  <w:vAlign w:val="center"/>
                </w:tcPr>
                <w:p>
                  <w:pPr>
                    <w:jc w:val="center"/>
                    <w:rPr>
                      <w:rFonts w:ascii="Times New Roman" w:hAnsi="Times New Roman"/>
                      <w:color w:val="auto"/>
                      <w:sz w:val="20"/>
                    </w:rPr>
                  </w:pPr>
                  <w:r>
                    <w:rPr>
                      <w:rFonts w:ascii="Times New Roman" w:hAnsi="Times New Roman"/>
                      <w:color w:val="auto"/>
                      <w:sz w:val="20"/>
                    </w:rPr>
                    <w:t>ТВСА-Альфа</w:t>
                  </w:r>
                </w:p>
              </w:tc>
            </w:tr>
            <w:tr>
              <w:trPr>
                <w:jc w:val="center"/>
              </w:trPr>
              <w:tc>
                <w:tcPr>
                  <w:tcW w:w="4387" w:type="dxa"/>
                </w:tcPr>
                <w:p>
                  <w:pPr>
                    <w:rPr>
                      <w:rFonts w:ascii="Times New Roman" w:hAnsi="Times New Roman"/>
                      <w:color w:val="auto"/>
                    </w:rPr>
                  </w:pPr>
                  <w:r>
                    <w:rPr>
                      <w:rFonts w:ascii="Times New Roman" w:hAnsi="Times New Roman"/>
                      <w:color w:val="auto"/>
                    </w:rPr>
                    <w:t>Габарити, (мм)</w:t>
                  </w:r>
                </w:p>
              </w:tc>
              <w:tc>
                <w:tcPr>
                  <w:tcW w:w="2696" w:type="dxa"/>
                  <w:gridSpan w:val="3"/>
                  <w:vAlign w:val="center"/>
                </w:tcPr>
                <w:p>
                  <w:pPr>
                    <w:jc w:val="center"/>
                    <w:rPr>
                      <w:rFonts w:ascii="Times New Roman" w:hAnsi="Times New Roman"/>
                      <w:color w:val="auto"/>
                      <w:sz w:val="20"/>
                    </w:rPr>
                  </w:pPr>
                </w:p>
              </w:tc>
            </w:tr>
            <w:tr>
              <w:trPr>
                <w:jc w:val="center"/>
              </w:trPr>
              <w:tc>
                <w:tcPr>
                  <w:tcW w:w="4387" w:type="dxa"/>
                </w:tcPr>
                <w:p>
                  <w:pPr>
                    <w:rPr>
                      <w:rFonts w:ascii="Times New Roman" w:hAnsi="Times New Roman"/>
                      <w:color w:val="auto"/>
                    </w:rPr>
                  </w:pPr>
                  <w:r>
                    <w:rPr>
                      <w:rFonts w:ascii="Times New Roman" w:hAnsi="Times New Roman"/>
                      <w:color w:val="auto"/>
                    </w:rPr>
                    <w:t>довжина,</w:t>
                  </w:r>
                </w:p>
              </w:tc>
              <w:tc>
                <w:tcPr>
                  <w:tcW w:w="711" w:type="dxa"/>
                  <w:vAlign w:val="center"/>
                </w:tcPr>
                <w:p>
                  <w:pPr>
                    <w:jc w:val="center"/>
                    <w:rPr>
                      <w:rFonts w:ascii="Times New Roman" w:hAnsi="Times New Roman"/>
                      <w:color w:val="auto"/>
                    </w:rPr>
                  </w:pPr>
                  <w:r>
                    <w:rPr>
                      <w:rFonts w:ascii="Times New Roman" w:hAnsi="Times New Roman"/>
                      <w:color w:val="auto"/>
                    </w:rPr>
                    <w:t>4570</w:t>
                  </w:r>
                </w:p>
              </w:tc>
              <w:tc>
                <w:tcPr>
                  <w:tcW w:w="709" w:type="dxa"/>
                  <w:vAlign w:val="center"/>
                </w:tcPr>
                <w:p>
                  <w:pPr>
                    <w:jc w:val="center"/>
                    <w:rPr>
                      <w:rFonts w:ascii="Times New Roman" w:hAnsi="Times New Roman"/>
                      <w:color w:val="auto"/>
                    </w:rPr>
                  </w:pPr>
                  <w:r>
                    <w:rPr>
                      <w:rFonts w:ascii="Times New Roman" w:hAnsi="Times New Roman"/>
                      <w:color w:val="auto"/>
                    </w:rPr>
                    <w:t>4570</w:t>
                  </w:r>
                </w:p>
              </w:tc>
              <w:tc>
                <w:tcPr>
                  <w:tcW w:w="1276" w:type="dxa"/>
                  <w:vAlign w:val="center"/>
                </w:tcPr>
                <w:p>
                  <w:pPr>
                    <w:jc w:val="center"/>
                    <w:rPr>
                      <w:rFonts w:ascii="Times New Roman" w:hAnsi="Times New Roman"/>
                      <w:color w:val="auto"/>
                    </w:rPr>
                  </w:pPr>
                  <w:r>
                    <w:rPr>
                      <w:rFonts w:ascii="Times New Roman" w:hAnsi="Times New Roman"/>
                      <w:color w:val="auto"/>
                    </w:rPr>
                    <w:t>4570</w:t>
                  </w:r>
                </w:p>
              </w:tc>
            </w:tr>
            <w:tr>
              <w:trPr>
                <w:jc w:val="center"/>
              </w:trPr>
              <w:tc>
                <w:tcPr>
                  <w:tcW w:w="4387" w:type="dxa"/>
                </w:tcPr>
                <w:p>
                  <w:pPr>
                    <w:rPr>
                      <w:rFonts w:ascii="Times New Roman" w:hAnsi="Times New Roman"/>
                      <w:color w:val="auto"/>
                    </w:rPr>
                  </w:pPr>
                  <w:r>
                    <w:rPr>
                      <w:rFonts w:ascii="Times New Roman" w:hAnsi="Times New Roman"/>
                      <w:color w:val="auto"/>
                    </w:rPr>
                    <w:t>розмір «під ключ»</w:t>
                  </w:r>
                </w:p>
              </w:tc>
              <w:tc>
                <w:tcPr>
                  <w:tcW w:w="711" w:type="dxa"/>
                  <w:vAlign w:val="center"/>
                </w:tcPr>
                <w:p>
                  <w:pPr>
                    <w:jc w:val="center"/>
                    <w:rPr>
                      <w:rFonts w:ascii="Times New Roman" w:hAnsi="Times New Roman"/>
                      <w:color w:val="auto"/>
                    </w:rPr>
                  </w:pPr>
                  <w:r>
                    <w:rPr>
                      <w:rFonts w:ascii="Times New Roman" w:hAnsi="Times New Roman"/>
                      <w:color w:val="auto"/>
                    </w:rPr>
                    <w:t>234</w:t>
                  </w:r>
                </w:p>
              </w:tc>
              <w:tc>
                <w:tcPr>
                  <w:tcW w:w="709" w:type="dxa"/>
                  <w:vAlign w:val="center"/>
                </w:tcPr>
                <w:p>
                  <w:pPr>
                    <w:jc w:val="center"/>
                    <w:rPr>
                      <w:rFonts w:ascii="Times New Roman" w:hAnsi="Times New Roman"/>
                      <w:color w:val="auto"/>
                    </w:rPr>
                  </w:pPr>
                  <w:r>
                    <w:rPr>
                      <w:rFonts w:ascii="Times New Roman" w:hAnsi="Times New Roman"/>
                      <w:color w:val="auto"/>
                    </w:rPr>
                    <w:t>234</w:t>
                  </w:r>
                </w:p>
              </w:tc>
              <w:tc>
                <w:tcPr>
                  <w:tcW w:w="1276" w:type="dxa"/>
                  <w:vAlign w:val="center"/>
                </w:tcPr>
                <w:p>
                  <w:pPr>
                    <w:jc w:val="center"/>
                    <w:rPr>
                      <w:rFonts w:ascii="Times New Roman" w:hAnsi="Times New Roman"/>
                      <w:color w:val="auto"/>
                    </w:rPr>
                  </w:pPr>
                  <w:r>
                    <w:rPr>
                      <w:rFonts w:ascii="Times New Roman" w:hAnsi="Times New Roman"/>
                      <w:color w:val="auto"/>
                    </w:rPr>
                    <w:t>234</w:t>
                  </w:r>
                </w:p>
              </w:tc>
            </w:tr>
            <w:tr>
              <w:trPr>
                <w:jc w:val="center"/>
              </w:trPr>
              <w:tc>
                <w:tcPr>
                  <w:tcW w:w="4387" w:type="dxa"/>
                </w:tcPr>
                <w:p>
                  <w:pPr>
                    <w:rPr>
                      <w:rFonts w:ascii="Times New Roman" w:hAnsi="Times New Roman"/>
                      <w:color w:val="auto"/>
                    </w:rPr>
                  </w:pPr>
                  <w:r>
                    <w:rPr>
                      <w:rFonts w:ascii="Times New Roman" w:hAnsi="Times New Roman"/>
                      <w:color w:val="auto"/>
                    </w:rPr>
                    <w:t>Кількість у ТВС, шт.:</w:t>
                  </w:r>
                </w:p>
              </w:tc>
              <w:tc>
                <w:tcPr>
                  <w:tcW w:w="2696" w:type="dxa"/>
                  <w:gridSpan w:val="3"/>
                  <w:vAlign w:val="center"/>
                </w:tcPr>
                <w:p>
                  <w:pPr>
                    <w:jc w:val="center"/>
                    <w:rPr>
                      <w:rFonts w:ascii="Times New Roman" w:hAnsi="Times New Roman"/>
                      <w:color w:val="auto"/>
                    </w:rPr>
                  </w:pPr>
                </w:p>
              </w:tc>
            </w:tr>
            <w:tr>
              <w:trPr>
                <w:jc w:val="center"/>
              </w:trPr>
              <w:tc>
                <w:tcPr>
                  <w:tcW w:w="4387" w:type="dxa"/>
                </w:tcPr>
                <w:p>
                  <w:pPr>
                    <w:rPr>
                      <w:rFonts w:ascii="Times New Roman" w:hAnsi="Times New Roman"/>
                      <w:color w:val="auto"/>
                    </w:rPr>
                  </w:pPr>
                  <w:r>
                    <w:rPr>
                      <w:rFonts w:ascii="Times New Roman" w:hAnsi="Times New Roman"/>
                      <w:color w:val="auto"/>
                    </w:rPr>
                    <w:t>ТВЕЛ-ів</w:t>
                  </w:r>
                </w:p>
              </w:tc>
              <w:tc>
                <w:tcPr>
                  <w:tcW w:w="711" w:type="dxa"/>
                  <w:vAlign w:val="center"/>
                </w:tcPr>
                <w:p>
                  <w:pPr>
                    <w:jc w:val="center"/>
                    <w:rPr>
                      <w:rFonts w:ascii="Times New Roman" w:hAnsi="Times New Roman"/>
                      <w:color w:val="auto"/>
                    </w:rPr>
                  </w:pPr>
                  <w:r>
                    <w:rPr>
                      <w:rFonts w:ascii="Times New Roman" w:hAnsi="Times New Roman"/>
                      <w:color w:val="auto"/>
                    </w:rPr>
                    <w:t>312</w:t>
                  </w:r>
                </w:p>
              </w:tc>
              <w:tc>
                <w:tcPr>
                  <w:tcW w:w="709" w:type="dxa"/>
                  <w:vAlign w:val="center"/>
                </w:tcPr>
                <w:p>
                  <w:pPr>
                    <w:jc w:val="center"/>
                    <w:rPr>
                      <w:rFonts w:ascii="Times New Roman" w:hAnsi="Times New Roman"/>
                      <w:color w:val="auto"/>
                    </w:rPr>
                  </w:pPr>
                  <w:r>
                    <w:rPr>
                      <w:rFonts w:ascii="Times New Roman" w:hAnsi="Times New Roman"/>
                      <w:color w:val="auto"/>
                    </w:rPr>
                    <w:t>300</w:t>
                  </w:r>
                </w:p>
              </w:tc>
              <w:tc>
                <w:tcPr>
                  <w:tcW w:w="1276" w:type="dxa"/>
                  <w:vAlign w:val="center"/>
                </w:tcPr>
                <w:p>
                  <w:pPr>
                    <w:jc w:val="center"/>
                    <w:rPr>
                      <w:rFonts w:ascii="Times New Roman" w:hAnsi="Times New Roman"/>
                      <w:color w:val="auto"/>
                    </w:rPr>
                  </w:pPr>
                  <w:r>
                    <w:rPr>
                      <w:rFonts w:ascii="Times New Roman" w:hAnsi="Times New Roman"/>
                      <w:color w:val="auto"/>
                    </w:rPr>
                    <w:t>294</w:t>
                  </w:r>
                </w:p>
              </w:tc>
            </w:tr>
            <w:tr>
              <w:trPr>
                <w:jc w:val="center"/>
              </w:trPr>
              <w:tc>
                <w:tcPr>
                  <w:tcW w:w="4387" w:type="dxa"/>
                </w:tcPr>
                <w:p>
                  <w:pPr>
                    <w:rPr>
                      <w:rFonts w:ascii="Times New Roman" w:hAnsi="Times New Roman"/>
                      <w:color w:val="auto"/>
                    </w:rPr>
                  </w:pPr>
                  <w:r>
                    <w:rPr>
                      <w:rFonts w:ascii="Times New Roman" w:hAnsi="Times New Roman"/>
                      <w:color w:val="auto"/>
                    </w:rPr>
                    <w:t>ТВЕГ-ів</w:t>
                  </w:r>
                </w:p>
              </w:tc>
              <w:tc>
                <w:tcPr>
                  <w:tcW w:w="711" w:type="dxa"/>
                  <w:vAlign w:val="center"/>
                </w:tcPr>
                <w:p>
                  <w:pPr>
                    <w:jc w:val="center"/>
                    <w:rPr>
                      <w:rFonts w:ascii="Times New Roman" w:hAnsi="Times New Roman"/>
                      <w:color w:val="auto"/>
                    </w:rPr>
                  </w:pPr>
                  <w:r>
                    <w:rPr>
                      <w:rFonts w:ascii="Times New Roman" w:hAnsi="Times New Roman"/>
                      <w:color w:val="auto"/>
                    </w:rPr>
                    <w:t>–</w:t>
                  </w:r>
                </w:p>
              </w:tc>
              <w:tc>
                <w:tcPr>
                  <w:tcW w:w="709" w:type="dxa"/>
                  <w:vAlign w:val="center"/>
                </w:tcPr>
                <w:p>
                  <w:pPr>
                    <w:jc w:val="center"/>
                    <w:rPr>
                      <w:rFonts w:ascii="Times New Roman" w:hAnsi="Times New Roman"/>
                      <w:color w:val="auto"/>
                    </w:rPr>
                  </w:pPr>
                  <w:r>
                    <w:rPr>
                      <w:rFonts w:ascii="Times New Roman" w:hAnsi="Times New Roman"/>
                      <w:color w:val="auto"/>
                    </w:rPr>
                    <w:t>12</w:t>
                  </w:r>
                </w:p>
              </w:tc>
              <w:tc>
                <w:tcPr>
                  <w:tcW w:w="1276" w:type="dxa"/>
                  <w:vAlign w:val="center"/>
                </w:tcPr>
                <w:p>
                  <w:pPr>
                    <w:jc w:val="center"/>
                    <w:rPr>
                      <w:rFonts w:ascii="Times New Roman" w:hAnsi="Times New Roman"/>
                      <w:color w:val="auto"/>
                    </w:rPr>
                  </w:pPr>
                  <w:r>
                    <w:rPr>
                      <w:rFonts w:ascii="Times New Roman" w:hAnsi="Times New Roman"/>
                      <w:color w:val="auto"/>
                    </w:rPr>
                    <w:t>18</w:t>
                  </w:r>
                </w:p>
              </w:tc>
            </w:tr>
            <w:tr>
              <w:trPr>
                <w:jc w:val="center"/>
              </w:trPr>
              <w:tc>
                <w:tcPr>
                  <w:tcW w:w="4387" w:type="dxa"/>
                </w:tcPr>
                <w:p>
                  <w:pPr>
                    <w:rPr>
                      <w:rFonts w:ascii="Times New Roman" w:hAnsi="Times New Roman"/>
                      <w:color w:val="auto"/>
                    </w:rPr>
                  </w:pPr>
                  <w:r>
                    <w:rPr>
                      <w:rFonts w:ascii="Times New Roman" w:hAnsi="Times New Roman"/>
                      <w:color w:val="auto"/>
                    </w:rPr>
                    <w:t>Кількість дистанційних ґрат у ТВС, шт.</w:t>
                  </w:r>
                </w:p>
              </w:tc>
              <w:tc>
                <w:tcPr>
                  <w:tcW w:w="711" w:type="dxa"/>
                  <w:vAlign w:val="center"/>
                </w:tcPr>
                <w:p>
                  <w:pPr>
                    <w:jc w:val="center"/>
                    <w:rPr>
                      <w:rFonts w:ascii="Times New Roman" w:hAnsi="Times New Roman"/>
                      <w:color w:val="auto"/>
                    </w:rPr>
                  </w:pPr>
                  <w:r>
                    <w:rPr>
                      <w:rFonts w:ascii="Times New Roman" w:hAnsi="Times New Roman"/>
                      <w:color w:val="auto"/>
                    </w:rPr>
                    <w:t>15</w:t>
                  </w:r>
                </w:p>
              </w:tc>
              <w:tc>
                <w:tcPr>
                  <w:tcW w:w="709" w:type="dxa"/>
                  <w:vAlign w:val="center"/>
                </w:tcPr>
                <w:p>
                  <w:pPr>
                    <w:jc w:val="center"/>
                    <w:rPr>
                      <w:rFonts w:ascii="Times New Roman" w:hAnsi="Times New Roman"/>
                      <w:color w:val="auto"/>
                    </w:rPr>
                  </w:pPr>
                  <w:r>
                    <w:rPr>
                      <w:rFonts w:ascii="Times New Roman" w:hAnsi="Times New Roman"/>
                      <w:color w:val="auto"/>
                    </w:rPr>
                    <w:t>15</w:t>
                  </w:r>
                </w:p>
              </w:tc>
              <w:tc>
                <w:tcPr>
                  <w:tcW w:w="1276" w:type="dxa"/>
                  <w:vAlign w:val="center"/>
                </w:tcPr>
                <w:p>
                  <w:pPr>
                    <w:jc w:val="center"/>
                    <w:rPr>
                      <w:rFonts w:ascii="Times New Roman" w:hAnsi="Times New Roman"/>
                      <w:color w:val="auto"/>
                    </w:rPr>
                  </w:pPr>
                  <w:r>
                    <w:rPr>
                      <w:rFonts w:ascii="Times New Roman" w:hAnsi="Times New Roman"/>
                      <w:color w:val="auto"/>
                    </w:rPr>
                    <w:t>15</w:t>
                  </w:r>
                </w:p>
              </w:tc>
            </w:tr>
            <w:tr>
              <w:trPr>
                <w:jc w:val="center"/>
              </w:trPr>
              <w:tc>
                <w:tcPr>
                  <w:tcW w:w="4387" w:type="dxa"/>
                </w:tcPr>
                <w:p>
                  <w:pPr>
                    <w:rPr>
                      <w:rFonts w:ascii="Times New Roman" w:hAnsi="Times New Roman"/>
                      <w:color w:val="auto"/>
                    </w:rPr>
                  </w:pPr>
                  <w:r>
                    <w:rPr>
                      <w:rFonts w:ascii="Times New Roman" w:hAnsi="Times New Roman"/>
                      <w:color w:val="auto"/>
                    </w:rPr>
                    <w:t>Маса ТВЗ, кг</w:t>
                  </w:r>
                </w:p>
              </w:tc>
              <w:tc>
                <w:tcPr>
                  <w:tcW w:w="711" w:type="dxa"/>
                  <w:vAlign w:val="center"/>
                </w:tcPr>
                <w:p>
                  <w:pPr>
                    <w:jc w:val="center"/>
                    <w:rPr>
                      <w:rFonts w:ascii="Times New Roman" w:hAnsi="Times New Roman"/>
                      <w:color w:val="auto"/>
                    </w:rPr>
                  </w:pPr>
                  <w:r>
                    <w:rPr>
                      <w:rFonts w:ascii="Times New Roman" w:hAnsi="Times New Roman"/>
                      <w:color w:val="auto"/>
                    </w:rPr>
                    <w:t>720</w:t>
                  </w:r>
                </w:p>
              </w:tc>
              <w:tc>
                <w:tcPr>
                  <w:tcW w:w="709" w:type="dxa"/>
                  <w:vAlign w:val="center"/>
                </w:tcPr>
                <w:p>
                  <w:pPr>
                    <w:jc w:val="center"/>
                    <w:rPr>
                      <w:rFonts w:ascii="Times New Roman" w:hAnsi="Times New Roman"/>
                      <w:color w:val="auto"/>
                    </w:rPr>
                  </w:pPr>
                  <w:r>
                    <w:rPr>
                      <w:rFonts w:ascii="Times New Roman" w:hAnsi="Times New Roman"/>
                      <w:color w:val="auto"/>
                    </w:rPr>
                    <w:t>720</w:t>
                  </w:r>
                </w:p>
              </w:tc>
              <w:tc>
                <w:tcPr>
                  <w:tcW w:w="1276" w:type="dxa"/>
                  <w:vAlign w:val="center"/>
                </w:tcPr>
                <w:p>
                  <w:pPr>
                    <w:jc w:val="center"/>
                    <w:rPr>
                      <w:rFonts w:ascii="Times New Roman" w:hAnsi="Times New Roman"/>
                      <w:color w:val="auto"/>
                    </w:rPr>
                  </w:pPr>
                  <w:r>
                    <w:rPr>
                      <w:rFonts w:ascii="Times New Roman" w:hAnsi="Times New Roman"/>
                      <w:color w:val="auto"/>
                    </w:rPr>
                    <w:t>720</w:t>
                  </w:r>
                </w:p>
              </w:tc>
            </w:tr>
          </w:tbl>
          <w:p>
            <w:pPr>
              <w:rPr>
                <w:rFonts w:ascii="Times New Roman" w:hAnsi="Times New Roman"/>
                <w:color w:val="auto"/>
                <w:sz w:val="20"/>
              </w:rPr>
            </w:pPr>
          </w:p>
          <w:p>
            <w:pPr>
              <w:ind w:firstLine="369"/>
              <w:rPr>
                <w:rFonts w:ascii="Times New Roman" w:hAnsi="Times New Roman"/>
                <w:color w:val="auto"/>
              </w:rPr>
            </w:pPr>
            <w:r>
              <w:rPr>
                <w:rFonts w:ascii="Times New Roman" w:hAnsi="Times New Roman"/>
                <w:color w:val="auto"/>
              </w:rPr>
              <w:t>Тепловиділяючий елемент (ТВЕЛ) є цирконієвою трубкою зовнішнім діаметром 9,1</w:t>
            </w:r>
            <w:r>
              <w:rPr>
                <w:rFonts w:ascii="Times New Roman" w:hAnsi="Times New Roman"/>
                <w:color w:val="auto"/>
                <w:vertAlign w:val="superscript"/>
              </w:rPr>
              <w:t>±0,05</w:t>
            </w:r>
            <w:r>
              <w:rPr>
                <w:rFonts w:ascii="Times New Roman" w:hAnsi="Times New Roman"/>
                <w:color w:val="auto"/>
              </w:rPr>
              <w:t xml:space="preserve"> мм, товщиною стінки 0,65</w:t>
            </w:r>
            <w:r>
              <w:rPr>
                <w:rFonts w:ascii="Times New Roman" w:hAnsi="Times New Roman"/>
                <w:color w:val="auto"/>
                <w:vertAlign w:val="superscript"/>
              </w:rPr>
              <w:t>±0,03</w:t>
            </w:r>
            <w:r>
              <w:rPr>
                <w:rFonts w:ascii="Times New Roman" w:hAnsi="Times New Roman"/>
                <w:color w:val="auto"/>
              </w:rPr>
              <w:t xml:space="preserve"> мм, внутрішнім діаметром — 7,72</w:t>
            </w:r>
            <w:r>
              <w:rPr>
                <w:rFonts w:ascii="Times New Roman" w:hAnsi="Times New Roman"/>
                <w:color w:val="auto"/>
                <w:vertAlign w:val="superscript"/>
              </w:rPr>
              <w:t>+0,08</w:t>
            </w:r>
            <w:r>
              <w:rPr>
                <w:rFonts w:ascii="Times New Roman" w:hAnsi="Times New Roman"/>
                <w:color w:val="auto"/>
              </w:rPr>
              <w:t xml:space="preserve"> мм. Внутрішня порожнина заповнюється гелієм під тиском 20-25 атм. Внутрішній об'єм у холодному стані 181 см³ на 70 % заповнений пігулками палива. Довжина ТВЕЛ 3837 мм, маса палива 0.93-1.52 кг. У трубку із зазором 0,19-0,32 мм в діаметрі поміщені таблетки діоксиду урану заввишки 9-12 мм і діаметром 7,57</w:t>
            </w:r>
            <w:r>
              <w:rPr>
                <w:rFonts w:ascii="Times New Roman" w:hAnsi="Times New Roman"/>
                <w:color w:val="auto"/>
                <w:vertAlign w:val="superscript"/>
              </w:rPr>
              <w:t>-0,03</w:t>
            </w:r>
            <w:r>
              <w:rPr>
                <w:rFonts w:ascii="Times New Roman" w:hAnsi="Times New Roman"/>
                <w:color w:val="auto"/>
              </w:rPr>
              <w:t xml:space="preserve"> мм. У середині таблеток є отвори діаметром 2,3 мм, а краї заокруглені фасками. У холодному стані загальна довжина стовпа таблеток у твелі становить 3530 мм. Довжина трубки твела становить 3800 мм, положення стовпа паливних таблеток зафіксовано розрізними втулками з нержавіючої сталі та пружиною, що не перешкоджають тепловим переміщенням. Питомий тепловий потік становить 0,6 МВт/м2, а лінійний тепловий потік - 17 кВт/м трубки.</w:t>
            </w:r>
          </w:p>
          <w:p>
            <w:pPr>
              <w:ind w:firstLine="369"/>
              <w:rPr>
                <w:rFonts w:ascii="Times New Roman" w:hAnsi="Times New Roman"/>
                <w:color w:val="auto"/>
              </w:rPr>
            </w:pPr>
            <w:r>
              <w:rPr>
                <w:rFonts w:ascii="Times New Roman" w:hAnsi="Times New Roman"/>
                <w:color w:val="auto"/>
              </w:rPr>
              <w:t>Діоксид урану має теплопровідність у 40 разів менше, ніж у сталі. Щільність діоксиду урану 10,4-10,7 г/см</w:t>
            </w:r>
            <w:r>
              <w:rPr>
                <w:rFonts w:ascii="Times New Roman" w:hAnsi="Times New Roman"/>
                <w:color w:val="auto"/>
                <w:vertAlign w:val="superscript"/>
              </w:rPr>
              <w:t>3</w:t>
            </w:r>
            <w:r>
              <w:rPr>
                <w:rFonts w:ascii="Times New Roman" w:hAnsi="Times New Roman"/>
                <w:color w:val="auto"/>
              </w:rPr>
              <w:t>. При протіканні ланцюгової реакції в обсязі паливних таблеток рівномірно виділяється енергія до 0,45 кВт/см</w:t>
            </w:r>
            <w:r>
              <w:rPr>
                <w:rFonts w:ascii="Times New Roman" w:hAnsi="Times New Roman"/>
                <w:color w:val="auto"/>
                <w:vertAlign w:val="superscript"/>
              </w:rPr>
              <w:t>3</w:t>
            </w:r>
            <w:r>
              <w:rPr>
                <w:rFonts w:ascii="Times New Roman" w:hAnsi="Times New Roman"/>
                <w:color w:val="auto"/>
              </w:rPr>
              <w:t xml:space="preserve"> (450 кВт/дм</w:t>
            </w:r>
            <w:r>
              <w:rPr>
                <w:rFonts w:ascii="Times New Roman" w:hAnsi="Times New Roman"/>
                <w:color w:val="auto"/>
                <w:vertAlign w:val="superscript"/>
              </w:rPr>
              <w:t>3</w:t>
            </w:r>
            <w:r>
              <w:rPr>
                <w:rFonts w:ascii="Times New Roman" w:hAnsi="Times New Roman"/>
                <w:color w:val="auto"/>
              </w:rPr>
              <w:t>).</w:t>
            </w:r>
          </w:p>
          <w:p>
            <w:pPr>
              <w:spacing w:after="60" w:beforeAutospacing="0" w:afterAutospacing="0"/>
              <w:ind w:firstLine="369"/>
              <w:rPr>
                <w:rFonts w:ascii="Times New Roman" w:hAnsi="Times New Roman"/>
                <w:color w:val="auto"/>
              </w:rPr>
            </w:pPr>
            <w:r>
              <w:rPr>
                <w:rFonts w:ascii="Times New Roman" w:hAnsi="Times New Roman"/>
                <w:color w:val="auto"/>
              </w:rPr>
              <w:t>Основний параметр ТВЕЛа - глибина вигоряння палива. У сучасних ВВЕР глибина вигоряння досягає 50-60 МВт·добу/кг за 4,5-5 років (3 кампанії по 1,5 року або 5 по року)</w:t>
            </w:r>
          </w:p>
        </w:tc>
      </w:tr>
      <w:tr>
        <w:tc>
          <w:tcPr>
            <w:tcW w:w="9627" w:type="dxa"/>
          </w:tcPr>
          <w:p>
            <w:pPr>
              <w:spacing w:before="60" w:beforeAutospacing="0" w:afterAutospacing="0"/>
              <w:ind w:left="369"/>
              <w:rPr>
                <w:rFonts w:ascii="Times New Roman" w:hAnsi="Times New Roman"/>
                <w:b w:val="1"/>
                <w:color w:val="auto"/>
                <w:sz w:val="20"/>
              </w:rPr>
            </w:pPr>
            <w:r>
              <w:rPr>
                <w:rFonts w:ascii="Times New Roman" w:hAnsi="Times New Roman"/>
                <w:b w:val="1"/>
                <w:color w:val="auto"/>
                <w:sz w:val="20"/>
              </w:rPr>
              <w:t>V. ПОСТАНОВКА ТА МЕТОДОЛОГІЯ РОЗВ'ЯЗАННЯ ЗАДАЧІ</w:t>
            </w:r>
          </w:p>
          <w:p>
            <w:pPr>
              <w:keepNext w:val="0"/>
              <w:widowControl w:val="0"/>
              <w:shd w:val="clear" w:fill="auto"/>
              <w:spacing w:lineRule="auto" w:line="240" w:beforeAutospacing="0" w:afterAutospacing="0"/>
              <w:ind w:firstLine="390"/>
              <w:jc w:val="both"/>
              <w:rPr>
                <w:rFonts w:ascii="Times New Roman" w:hAnsi="Times New Roman"/>
                <w:color w:val="auto"/>
              </w:rPr>
            </w:pPr>
            <w:r>
              <w:rPr>
                <w:rFonts w:ascii="Times New Roman" w:hAnsi="Times New Roman"/>
                <w:color w:val="auto"/>
              </w:rPr>
              <w:t>Тепловий режим контейнера формується, переважно, в обсязі виїмної частини, де розташовані ТВС після їх тривалого витримування в басейнах витримки (рис.2).</w:t>
            </w:r>
          </w:p>
          <w:tbl>
            <w:tblPr>
              <w:tblStyle w:val="T2"/>
              <w:tblW w:w="0" w:type="auto"/>
              <w:jc w:val="center"/>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tblCellMar>
                <w:left w:w="28" w:type="dxa"/>
                <w:right w:w="28" w:type="dxa"/>
              </w:tblCellMar>
              <w:tblLook w:val="04A0"/>
            </w:tblPr>
            <w:tblGrid/>
            <w:tr>
              <w:trPr>
                <w:trHeight w:hRule="atLeast" w:val="3657"/>
                <w:jc w:val="center"/>
              </w:trPr>
              <w:tc>
                <w:tcPr>
                  <w:tcW w:w="5098" w:type="dxa"/>
                  <w:vAlign w:val="center"/>
                </w:tcPr>
                <w:p>
                  <w:pPr>
                    <w:jc w:val="center"/>
                    <w:rPr>
                      <w:color w:val="auto"/>
                    </w:rPr>
                  </w:pPr>
                  <w:r>
                    <w:drawing>
                      <wp:inline xmlns:wp="http://schemas.openxmlformats.org/drawingml/2006/wordprocessingDrawing">
                        <wp:extent cx="2105660" cy="226187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2105660" cy="2261870"/>
                                </a:xfrm>
                                <a:prstGeom prst="rect"/>
                                <a:noFill/>
                              </pic:spPr>
                            </pic:pic>
                          </a:graphicData>
                        </a:graphic>
                      </wp:inline>
                    </w:drawing>
                  </w:r>
                </w:p>
              </w:tc>
              <w:tc>
                <w:tcPr>
                  <w:tcW w:w="3411" w:type="dxa"/>
                  <w:vAlign w:val="center"/>
                </w:tcPr>
                <w:p>
                  <w:pPr>
                    <w:jc w:val="center"/>
                    <w:rPr>
                      <w:color w:val="auto"/>
                    </w:rPr>
                  </w:pPr>
                  <w:r>
                    <w:drawing>
                      <wp:inline xmlns:wp="http://schemas.openxmlformats.org/drawingml/2006/wordprocessingDrawing">
                        <wp:extent cx="899160" cy="2251075"/>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899160" cy="2251075"/>
                                </a:xfrm>
                                <a:prstGeom prst="rect"/>
                                <a:noFill/>
                              </pic:spPr>
                            </pic:pic>
                          </a:graphicData>
                        </a:graphic>
                      </wp:inline>
                    </w:drawing>
                  </w:r>
                </w:p>
              </w:tc>
            </w:tr>
            <w:tr>
              <w:trPr>
                <w:jc w:val="center"/>
              </w:trPr>
              <w:tc>
                <w:tcPr>
                  <w:tcW w:w="8509" w:type="dxa"/>
                  <w:gridSpan w:val="2"/>
                </w:tcPr>
                <w:p>
                  <w:pPr>
                    <w:jc w:val="center"/>
                    <w:rPr>
                      <w:rFonts w:ascii="Times New Roman" w:hAnsi="Times New Roman"/>
                      <w:color w:val="auto"/>
                    </w:rPr>
                  </w:pPr>
                  <w:r>
                    <w:rPr>
                      <w:rFonts w:ascii="Times New Roman" w:hAnsi="Times New Roman"/>
                      <w:color w:val="auto"/>
                    </w:rPr>
                    <w:t>Рис.2. Виймальна частина (чохол) для розміщення ВТВЗ у порожнині контейнера</w:t>
                  </w:r>
                </w:p>
              </w:tc>
            </w:tr>
          </w:tbl>
          <w:p>
            <w:pPr>
              <w:rPr>
                <w:rFonts w:ascii="Times New Roman" w:hAnsi="Times New Roman"/>
                <w:color w:val="auto"/>
              </w:rPr>
            </w:pPr>
          </w:p>
          <w:p>
            <w:pPr>
              <w:ind w:firstLine="369"/>
              <w:rPr>
                <w:rFonts w:ascii="Times New Roman" w:hAnsi="Times New Roman"/>
                <w:color w:val="auto"/>
              </w:rPr>
            </w:pPr>
            <w:r>
              <w:rPr>
                <w:rFonts w:ascii="Times New Roman" w:hAnsi="Times New Roman"/>
                <w:color w:val="auto"/>
              </w:rPr>
              <w:t xml:space="preserve">Вийманна частина є макропористим тілом циліндричної симетрії. Просторово-часовий розподіл температури всередині циліндра при τ &gt; 0 у циліндричній системі координат, у припущенні сталості теплофізичних параметрів та наявності розподілених джерел </w:t>
            </w:r>
            <w:r>
              <w:rPr>
                <w:rFonts w:ascii="Times New Roman" w:hAnsi="Times New Roman"/>
                <w:i w:val="1"/>
                <w:color w:val="auto"/>
              </w:rPr>
              <w:t>q</w:t>
            </w:r>
            <w:r>
              <w:rPr>
                <w:rFonts w:ascii="Times New Roman" w:hAnsi="Times New Roman"/>
                <w:i w:val="1"/>
                <w:color w:val="auto"/>
                <w:vertAlign w:val="subscript"/>
              </w:rPr>
              <w:t>V</w:t>
            </w:r>
            <w:r>
              <w:rPr>
                <w:rFonts w:ascii="Times New Roman" w:hAnsi="Times New Roman"/>
                <w:color w:val="auto"/>
              </w:rPr>
              <w:t>, представляється рівнянням [7]:</w:t>
            </w:r>
          </w:p>
          <w:p>
            <w:pPr>
              <w:spacing w:before="120" w:after="120" w:beforeAutospacing="0" w:afterAutospacing="0"/>
              <w:ind w:firstLine="369"/>
              <w:jc w:val="right"/>
              <w:rPr>
                <w:rFonts w:ascii="Times New Roman" w:hAnsi="Times New Roman"/>
                <w:color w:val="auto"/>
              </w:rPr>
            </w:pPr>
            <w:r>
              <w:drawing>
                <wp:inline xmlns:wp="http://schemas.openxmlformats.org/drawingml/2006/wordprocessingDrawing">
                  <wp:extent cx="4629150" cy="447675"/>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4"/>
                          <a:stretch>
                            <a:fillRect/>
                          </a:stretch>
                        </pic:blipFill>
                        <pic:spPr>
                          <a:xfrm>
                            <a:off x="0" y="0"/>
                            <a:ext cx="4629150" cy="447675"/>
                          </a:xfrm>
                          <a:prstGeom prst="rect"/>
                          <a:solidFill>
                            <a:srgbClr val="FFFFFF"/>
                          </a:solidFill>
                        </pic:spPr>
                      </pic:pic>
                    </a:graphicData>
                  </a:graphic>
                </wp:inline>
              </w:drawing>
            </w:r>
            <w:r>
              <w:rPr>
                <w:rFonts w:ascii="Times New Roman" w:hAnsi="Times New Roman"/>
                <w:color w:val="auto"/>
              </w:rPr>
              <w:t xml:space="preserve">, </w:t>
            </w:r>
            <w:r>
              <w:rPr>
                <w:rFonts w:ascii="Times New Roman" w:hAnsi="Times New Roman"/>
                <w:color w:val="auto"/>
              </w:rPr>
              <w:t xml:space="preserve"> </w:t>
            </w:r>
            <w:r>
              <w:rPr>
                <w:rFonts w:ascii="Times New Roman" w:hAnsi="Times New Roman"/>
                <w:color w:val="auto"/>
              </w:rPr>
              <w:t xml:space="preserve"> </w:t>
            </w:r>
            <w:r>
              <w:rPr>
                <w:rFonts w:ascii="Times New Roman" w:hAnsi="Times New Roman"/>
                <w:color w:val="auto"/>
              </w:rPr>
              <w:t xml:space="preserve"> </w:t>
            </w:r>
            <w:r>
              <w:rPr>
                <w:rFonts w:ascii="Times New Roman" w:hAnsi="Times New Roman"/>
                <w:color w:val="auto"/>
              </w:rPr>
              <w:t xml:space="preserve"> </w:t>
            </w:r>
            <w:r>
              <w:rPr>
                <w:rFonts w:ascii="Times New Roman" w:hAnsi="Times New Roman"/>
                <w:color w:val="auto"/>
              </w:rPr>
              <w:t xml:space="preserve"> </w:t>
            </w:r>
            <w:r>
              <w:rPr>
                <w:rFonts w:ascii="Times New Roman" w:hAnsi="Times New Roman"/>
                <w:color w:val="auto"/>
              </w:rPr>
              <w:t xml:space="preserve"> </w:t>
            </w:r>
            <w:r>
              <w:rPr>
                <w:rFonts w:ascii="Times New Roman" w:hAnsi="Times New Roman"/>
                <w:color w:val="auto"/>
              </w:rPr>
              <w:t>(1)</w:t>
            </w:r>
          </w:p>
          <w:p>
            <w:pPr>
              <w:ind w:firstLine="369"/>
              <w:rPr>
                <w:rFonts w:ascii="Times New Roman" w:hAnsi="Times New Roman"/>
                <w:color w:val="auto"/>
              </w:rPr>
            </w:pPr>
            <w:r>
              <w:rPr>
                <w:rFonts w:ascii="Times New Roman" w:hAnsi="Times New Roman"/>
                <w:color w:val="auto"/>
              </w:rPr>
              <w:t xml:space="preserve">де: </w:t>
            </w:r>
            <w:r>
              <w:rPr>
                <w:rFonts w:ascii="Times New Roman" w:hAnsi="Times New Roman"/>
                <w:i w:val="1"/>
                <w:color w:val="auto"/>
              </w:rPr>
              <w:t>T</w:t>
            </w:r>
            <w:r>
              <w:rPr>
                <w:rFonts w:ascii="Times New Roman" w:hAnsi="Times New Roman"/>
                <w:color w:val="auto"/>
              </w:rPr>
              <w:t xml:space="preserve">-температура; </w:t>
            </w:r>
            <w:r>
              <w:rPr>
                <w:rFonts w:ascii="Times New Roman" w:hAnsi="Times New Roman"/>
                <w:i w:val="1"/>
                <w:color w:val="auto"/>
              </w:rPr>
              <w:t>τ</w:t>
            </w:r>
            <w:r>
              <w:rPr>
                <w:rFonts w:ascii="Times New Roman" w:hAnsi="Times New Roman"/>
                <w:color w:val="auto"/>
              </w:rPr>
              <w:t xml:space="preserve">-час; </w:t>
            </w:r>
            <w:r>
              <w:rPr>
                <w:rFonts w:ascii="Times New Roman" w:hAnsi="Times New Roman"/>
                <w:i w:val="1"/>
                <w:color w:val="auto"/>
              </w:rPr>
              <w:t>r, φ, z</w:t>
            </w:r>
            <w:r>
              <w:rPr>
                <w:rFonts w:ascii="Times New Roman" w:hAnsi="Times New Roman"/>
                <w:color w:val="auto"/>
              </w:rPr>
              <w:t xml:space="preserve"> – відповідно, радіальна, кутова та осьова координати; </w:t>
            </w:r>
            <w:r>
              <w:rPr>
                <w:rFonts w:ascii="Times New Roman" w:hAnsi="Times New Roman"/>
                <w:i w:val="1"/>
                <w:color w:val="auto"/>
              </w:rPr>
              <w:t>λ</w:t>
            </w:r>
            <w:r>
              <w:rPr>
                <w:rFonts w:ascii="Times New Roman" w:hAnsi="Times New Roman"/>
                <w:color w:val="auto"/>
              </w:rPr>
              <w:t xml:space="preserve">-теплопровідність; </w:t>
            </w:r>
            <w:r>
              <w:rPr>
                <w:rFonts w:ascii="Times New Roman" w:hAnsi="Times New Roman"/>
                <w:i w:val="1"/>
                <w:color w:val="auto"/>
              </w:rPr>
              <w:t>ρ</w:t>
            </w:r>
            <w:r>
              <w:rPr>
                <w:rFonts w:ascii="Times New Roman" w:hAnsi="Times New Roman"/>
                <w:color w:val="auto"/>
              </w:rPr>
              <w:t xml:space="preserve">- щільність; </w:t>
            </w:r>
            <w:r>
              <w:rPr>
                <w:rFonts w:ascii="Times New Roman" w:hAnsi="Times New Roman"/>
                <w:i w:val="1"/>
                <w:color w:val="auto"/>
              </w:rPr>
              <w:t>c</w:t>
            </w:r>
            <w:r>
              <w:rPr>
                <w:rFonts w:ascii="Times New Roman" w:hAnsi="Times New Roman"/>
                <w:color w:val="auto"/>
              </w:rPr>
              <w:t>-тепломісткість.</w:t>
            </w:r>
          </w:p>
          <w:p>
            <w:pPr>
              <w:ind w:firstLine="369"/>
              <w:rPr>
                <w:rFonts w:ascii="Times New Roman" w:hAnsi="Times New Roman"/>
                <w:color w:val="auto"/>
              </w:rPr>
            </w:pPr>
            <w:r>
              <w:rPr>
                <w:rFonts w:ascii="Times New Roman" w:hAnsi="Times New Roman"/>
                <w:color w:val="auto"/>
              </w:rPr>
              <w:t>Початкові та граничні умови мають вигляд</w:t>
            </w:r>
          </w:p>
          <w:p>
            <w:pPr>
              <w:widowControl w:val="1"/>
              <w:spacing w:before="120" w:after="120" w:beforeAutospacing="0" w:afterAutospacing="0"/>
              <w:ind w:firstLine="284"/>
              <w:jc w:val="right"/>
              <w:rPr>
                <w:rFonts w:ascii="Times New Roman" w:hAnsi="Times New Roman"/>
                <w:color w:val="auto"/>
              </w:rPr>
            </w:pPr>
            <w:r>
              <w:drawing>
                <wp:inline xmlns:wp="http://schemas.openxmlformats.org/drawingml/2006/wordprocessingDrawing">
                  <wp:extent cx="1238250" cy="333375"/>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5"/>
                          <a:stretch>
                            <a:fillRect/>
                          </a:stretch>
                        </pic:blipFill>
                        <pic:spPr>
                          <a:xfrm>
                            <a:off x="0" y="0"/>
                            <a:ext cx="1238250" cy="333375"/>
                          </a:xfrm>
                          <a:prstGeom prst="rect"/>
                          <a:solidFill>
                            <a:srgbClr val="FFFFFF"/>
                          </a:solidFill>
                        </pic:spPr>
                      </pic:pic>
                    </a:graphicData>
                  </a:graphic>
                </wp:inline>
              </w:drawing>
            </w:r>
            <w:r>
              <w:rPr>
                <w:rFonts w:ascii="Times New Roman" w:hAnsi="Times New Roman"/>
                <w:color w:val="auto"/>
              </w:rPr>
              <w:t xml:space="preserve">;  </w:t>
            </w:r>
            <w:r>
              <w:rPr>
                <w:rFonts w:ascii="Times New Roman" w:hAnsi="Times New Roman"/>
                <w:color w:val="auto"/>
              </w:rPr>
              <w:t xml:space="preserve"> </w:t>
            </w:r>
            <w:r>
              <w:rPr>
                <w:rFonts w:ascii="Times New Roman" w:hAnsi="Times New Roman"/>
                <w:color w:val="auto"/>
              </w:rPr>
              <w:t xml:space="preserve"> </w:t>
            </w:r>
            <w:r>
              <w:drawing>
                <wp:inline xmlns:wp="http://schemas.openxmlformats.org/drawingml/2006/wordprocessingDrawing">
                  <wp:extent cx="1181100" cy="323850"/>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6"/>
                          <a:stretch>
                            <a:fillRect/>
                          </a:stretch>
                        </pic:blipFill>
                        <pic:spPr>
                          <a:xfrm>
                            <a:off x="0" y="0"/>
                            <a:ext cx="1181100" cy="323850"/>
                          </a:xfrm>
                          <a:prstGeom prst="rect"/>
                          <a:solidFill>
                            <a:srgbClr val="FFFFFF"/>
                          </a:solidFill>
                        </pic:spPr>
                      </pic:pic>
                    </a:graphicData>
                  </a:graphic>
                </wp:inline>
              </w:drawing>
            </w:r>
            <w:r>
              <w:rPr>
                <w:rFonts w:ascii="Times New Roman" w:hAnsi="Times New Roman"/>
                <w:color w:val="auto"/>
              </w:rPr>
              <w:t>;</w:t>
              <w:tab/>
              <w:tab/>
              <w:t>(2)</w:t>
            </w:r>
          </w:p>
          <w:p>
            <w:pPr>
              <w:ind w:firstLine="369"/>
              <w:rPr>
                <w:rFonts w:ascii="Times New Roman" w:hAnsi="Times New Roman"/>
                <w:color w:val="auto"/>
              </w:rPr>
            </w:pPr>
            <w:r>
              <w:rPr>
                <w:rFonts w:ascii="Times New Roman" w:hAnsi="Times New Roman"/>
                <w:color w:val="auto"/>
              </w:rPr>
              <w:t>Приймаючи умови на зовнішній межі вздовж осі z незмінними і враховуючи, що розмір циліндра вздовж осі симетрії значно перевищує радіус, розглядатимемо температурне поле лише за радіальною координатою відповідно до рівняння</w:t>
            </w:r>
          </w:p>
          <w:p>
            <w:pPr>
              <w:widowControl w:val="1"/>
              <w:jc w:val="right"/>
              <w:rPr>
                <w:rFonts w:ascii="Times New Roman" w:hAnsi="Times New Roman"/>
                <w:color w:val="auto"/>
              </w:rPr>
            </w:pPr>
            <w:r>
              <w:drawing>
                <wp:inline xmlns:wp="http://schemas.openxmlformats.org/drawingml/2006/wordprocessingDrawing">
                  <wp:extent cx="3219450" cy="466725"/>
                  <wp:docPr id="7" name="Picture 7"/>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elimage7"/>
                          <a:stretch>
                            <a:fillRect/>
                          </a:stretch>
                        </pic:blipFill>
                        <pic:spPr>
                          <a:xfrm>
                            <a:off x="0" y="0"/>
                            <a:ext cx="3219450" cy="466725"/>
                          </a:xfrm>
                          <a:prstGeom prst="rect"/>
                          <a:solidFill>
                            <a:srgbClr val="FFFFFF"/>
                          </a:solidFill>
                        </pic:spPr>
                      </pic:pic>
                    </a:graphicData>
                  </a:graphic>
                </wp:inline>
              </w:drawing>
            </w:r>
            <w:r>
              <w:rPr>
                <w:rFonts w:ascii="Times New Roman" w:hAnsi="Times New Roman"/>
                <w:color w:val="auto"/>
              </w:rPr>
              <w:t xml:space="preserve">;                       (3)</w:t>
            </w:r>
          </w:p>
          <w:p>
            <w:pPr>
              <w:ind w:firstLine="369"/>
              <w:rPr>
                <w:rFonts w:ascii="Times New Roman" w:hAnsi="Times New Roman"/>
                <w:color w:val="auto"/>
              </w:rPr>
            </w:pPr>
            <w:r>
              <w:rPr>
                <w:rFonts w:ascii="Times New Roman" w:hAnsi="Times New Roman"/>
                <w:color w:val="auto"/>
              </w:rPr>
              <w:t>Перетворивши диференціальне рівняння на різницеву форму отримуємо рівняння алгебри</w:t>
            </w:r>
          </w:p>
          <w:p>
            <w:pPr>
              <w:widowControl w:val="1"/>
              <w:jc w:val="center"/>
              <w:rPr>
                <w:rFonts w:ascii="Times New Roman" w:hAnsi="Times New Roman"/>
                <w:color w:val="auto"/>
              </w:rPr>
            </w:pPr>
            <w:r>
              <w:drawing>
                <wp:inline xmlns:wp="http://schemas.openxmlformats.org/drawingml/2006/wordprocessingDrawing">
                  <wp:extent cx="5102225" cy="466725"/>
                  <wp:docPr id="8" name="Picture 8"/>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elimage8"/>
                          <a:stretch>
                            <a:fillRect/>
                          </a:stretch>
                        </pic:blipFill>
                        <pic:spPr>
                          <a:xfrm>
                            <a:off x="0" y="0"/>
                            <a:ext cx="5102225" cy="466725"/>
                          </a:xfrm>
                          <a:prstGeom prst="rect"/>
                          <a:solidFill>
                            <a:srgbClr val="FFFFFF"/>
                          </a:solidFill>
                        </pic:spPr>
                      </pic:pic>
                    </a:graphicData>
                  </a:graphic>
                </wp:inline>
              </w:drawing>
            </w:r>
            <w:r>
              <w:rPr>
                <w:rFonts w:ascii="Times New Roman" w:hAnsi="Times New Roman"/>
                <w:color w:val="auto"/>
              </w:rPr>
              <w:t xml:space="preserve">;               (4)</w:t>
            </w:r>
          </w:p>
          <w:p>
            <w:pPr>
              <w:rPr>
                <w:rFonts w:ascii="Times New Roman" w:hAnsi="Times New Roman"/>
                <w:color w:val="auto"/>
              </w:rPr>
            </w:pPr>
            <w:r>
              <w:rPr>
                <w:rFonts w:ascii="Times New Roman" w:hAnsi="Times New Roman"/>
                <w:color w:val="auto"/>
              </w:rPr>
              <w:t>якому відповідає наведена нижче схема</w:t>
            </w:r>
          </w:p>
          <w:tbl>
            <w:tblPr>
              <w:tblStyle w:val="T2"/>
              <w:tblW w:w="0" w:type="auto"/>
              <w:jc w:val="center"/>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tblCellMar>
                <w:left w:w="28" w:type="dxa"/>
                <w:right w:w="28" w:type="dxa"/>
              </w:tblCellMar>
              <w:tblLook w:val="04A0"/>
            </w:tblPr>
            <w:tblGrid/>
            <w:tr>
              <w:trPr>
                <w:trHeight w:hRule="atLeast" w:val="1301"/>
                <w:jc w:val="center"/>
              </w:trPr>
              <w:tc>
                <w:tcPr>
                  <w:tcW w:w="5353" w:type="dxa"/>
                </w:tcPr>
                <w:p>
                  <w:pPr>
                    <w:widowControl w:val="1"/>
                    <w:spacing w:before="100" w:after="100" w:beforeAutospacing="1" w:afterAutospacing="1"/>
                    <w:jc w:val="center"/>
                    <w:rPr>
                      <w:rFonts w:ascii="Times New Roman" w:hAnsi="Times New Roman"/>
                      <w:color w:val="auto"/>
                    </w:rPr>
                  </w:pPr>
                  <w:r>
                    <w:drawing>
                      <wp:inline xmlns:wp="http://schemas.openxmlformats.org/drawingml/2006/wordprocessingDrawing">
                        <wp:extent cx="3188970" cy="796925"/>
                        <wp:docPr id="9" name="Picture 9"/>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elimage9"/>
                                <a:stretch>
                                  <a:fillRect/>
                                </a:stretch>
                              </pic:blipFill>
                              <pic:spPr>
                                <a:xfrm>
                                  <a:off x="0" y="0"/>
                                  <a:ext cx="3188970" cy="796925"/>
                                </a:xfrm>
                                <a:prstGeom prst="rect"/>
                                <a:noFill/>
                              </pic:spPr>
                            </pic:pic>
                          </a:graphicData>
                        </a:graphic>
                      </wp:inline>
                    </w:drawing>
                  </w:r>
                </w:p>
              </w:tc>
              <w:tc>
                <w:tcPr>
                  <w:tcW w:w="2406" w:type="dxa"/>
                  <w:vAlign w:val="center"/>
                </w:tcPr>
                <w:p>
                  <w:pPr>
                    <w:widowControl w:val="1"/>
                    <w:spacing w:before="100" w:after="100" w:beforeAutospacing="1" w:afterAutospacing="1"/>
                    <w:rPr>
                      <w:rFonts w:ascii="Times New Roman" w:hAnsi="Times New Roman"/>
                      <w:color w:val="auto"/>
                    </w:rPr>
                  </w:pPr>
                  <w:r>
                    <w:rPr>
                      <w:rFonts w:ascii="Times New Roman" w:hAnsi="Times New Roman"/>
                      <w:color w:val="auto"/>
                    </w:rPr>
                    <w:t>Рис.3. Розрахункова схема до рівняння (4).</w:t>
                  </w:r>
                </w:p>
              </w:tc>
            </w:tr>
          </w:tbl>
          <w:p>
            <w:pPr>
              <w:rPr>
                <w:rFonts w:ascii="Times New Roman" w:hAnsi="Times New Roman"/>
                <w:color w:val="auto"/>
                <w:sz w:val="20"/>
              </w:rPr>
            </w:pPr>
          </w:p>
          <w:p>
            <w:pPr>
              <w:ind w:firstLine="369"/>
              <w:rPr>
                <w:rFonts w:ascii="Times New Roman" w:hAnsi="Times New Roman"/>
                <w:color w:val="auto"/>
              </w:rPr>
            </w:pPr>
            <w:r>
              <w:rPr>
                <w:rFonts w:ascii="Times New Roman" w:hAnsi="Times New Roman"/>
                <w:color w:val="auto"/>
              </w:rPr>
              <w:t>Значення, необхідні для розв'язання рівняння незмінних постійних, отримані шляхом розрахунків (</w:t>
            </w:r>
            <w:r>
              <w:rPr>
                <w:rFonts w:ascii="Times New Roman" w:hAnsi="Times New Roman"/>
                <w:i w:val="1"/>
                <w:color w:val="auto"/>
              </w:rPr>
              <w:t>ρ</w:t>
            </w:r>
            <w:r>
              <w:rPr>
                <w:rFonts w:ascii="Times New Roman" w:hAnsi="Times New Roman"/>
                <w:color w:val="auto"/>
                <w:vertAlign w:val="subscript"/>
              </w:rPr>
              <w:t>ек</w:t>
            </w:r>
            <w:r>
              <w:rPr>
                <w:rFonts w:ascii="Times New Roman" w:hAnsi="Times New Roman"/>
                <w:color w:val="auto"/>
              </w:rPr>
              <w:t xml:space="preserve">, </w:t>
            </w:r>
            <w:r>
              <w:rPr>
                <w:rFonts w:ascii="Times New Roman" w:hAnsi="Times New Roman"/>
                <w:i w:val="1"/>
                <w:color w:val="auto"/>
              </w:rPr>
              <w:t>с</w:t>
            </w:r>
            <w:r>
              <w:rPr>
                <w:rFonts w:ascii="Times New Roman" w:hAnsi="Times New Roman"/>
                <w:color w:val="auto"/>
                <w:vertAlign w:val="subscript"/>
              </w:rPr>
              <w:t>ек</w:t>
            </w:r>
            <w:r>
              <w:rPr>
                <w:rFonts w:ascii="Times New Roman" w:hAnsi="Times New Roman"/>
                <w:color w:val="auto"/>
              </w:rPr>
              <w:t xml:space="preserve">, </w:t>
            </w:r>
            <w:r>
              <w:rPr>
                <w:rFonts w:ascii="Times New Roman" w:hAnsi="Times New Roman"/>
                <w:i w:val="1"/>
                <w:color w:val="auto"/>
              </w:rPr>
              <w:t>q</w:t>
            </w:r>
            <w:r>
              <w:rPr>
                <w:rFonts w:ascii="Times New Roman" w:hAnsi="Times New Roman"/>
                <w:i w:val="1"/>
                <w:color w:val="auto"/>
                <w:vertAlign w:val="subscript"/>
              </w:rPr>
              <w:t>V</w:t>
            </w:r>
            <w:r>
              <w:rPr>
                <w:rFonts w:ascii="Times New Roman" w:hAnsi="Times New Roman"/>
                <w:color w:val="auto"/>
              </w:rPr>
              <w:t xml:space="preserve"> ) за наведеними вище даними (таб.1, 2; рис.2), а також за рекомендаціями [9].</w:t>
            </w:r>
          </w:p>
          <w:p>
            <w:pPr>
              <w:ind w:firstLine="369"/>
              <w:jc w:val="center"/>
              <w:rPr>
                <w:rFonts w:ascii="Times New Roman" w:hAnsi="Times New Roman"/>
                <w:color w:val="auto"/>
              </w:rPr>
            </w:pPr>
            <w:r>
              <w:rPr>
                <w:rFonts w:ascii="Times New Roman" w:hAnsi="Times New Roman"/>
                <w:color w:val="auto"/>
              </w:rPr>
              <w:t>Таблиця 3. Значення постійних розрахунку коефіцієнтів</w:t>
            </w:r>
          </w:p>
          <w:tbl>
            <w:tblPr>
              <w:tblStyle w:val="T2"/>
              <w:tblW w:w="0" w:type="auto"/>
              <w:jc w:val="center"/>
              <w:tblCellMar>
                <w:left w:w="28" w:type="dxa"/>
                <w:right w:w="28" w:type="dxa"/>
              </w:tblCellMar>
              <w:tblLook w:val="04A0"/>
            </w:tblPr>
            <w:tblGrid/>
            <w:tr>
              <w:trPr>
                <w:jc w:val="center"/>
              </w:trPr>
              <w:tc>
                <w:tcPr>
                  <w:tcW w:w="1238" w:type="dxa"/>
                </w:tcPr>
                <w:p>
                  <w:pPr>
                    <w:widowControl w:val="1"/>
                    <w:spacing w:before="100" w:after="100" w:beforeAutospacing="1" w:afterAutospacing="1"/>
                    <w:jc w:val="center"/>
                    <w:rPr>
                      <w:rFonts w:ascii="Times New Roman" w:hAnsi="Times New Roman"/>
                      <w:color w:val="auto"/>
                    </w:rPr>
                  </w:pPr>
                  <w:r>
                    <w:rPr>
                      <w:rFonts w:ascii="Times New Roman" w:hAnsi="Times New Roman"/>
                      <w:i w:val="1"/>
                      <w:color w:val="auto"/>
                    </w:rPr>
                    <w:t>λ</w:t>
                  </w:r>
                  <w:r>
                    <w:rPr>
                      <w:rFonts w:ascii="Times New Roman" w:hAnsi="Times New Roman"/>
                      <w:i w:val="1"/>
                      <w:color w:val="auto"/>
                      <w:vertAlign w:val="subscript"/>
                    </w:rPr>
                    <w:t>эк</w:t>
                  </w:r>
                </w:p>
              </w:tc>
              <w:tc>
                <w:tcPr>
                  <w:tcW w:w="992" w:type="dxa"/>
                </w:tcPr>
                <w:p>
                  <w:pPr>
                    <w:widowControl w:val="1"/>
                    <w:spacing w:before="100" w:after="100" w:beforeAutospacing="1" w:afterAutospacing="1"/>
                    <w:jc w:val="center"/>
                    <w:rPr>
                      <w:rFonts w:ascii="Times New Roman" w:hAnsi="Times New Roman"/>
                      <w:color w:val="auto"/>
                    </w:rPr>
                  </w:pPr>
                  <w:r>
                    <w:rPr>
                      <w:rFonts w:ascii="Times New Roman" w:hAnsi="Times New Roman"/>
                      <w:i w:val="1"/>
                      <w:color w:val="auto"/>
                    </w:rPr>
                    <w:t>ρ</w:t>
                  </w:r>
                  <w:r>
                    <w:rPr>
                      <w:rFonts w:ascii="Times New Roman" w:hAnsi="Times New Roman"/>
                      <w:i w:val="1"/>
                      <w:color w:val="auto"/>
                      <w:vertAlign w:val="subscript"/>
                    </w:rPr>
                    <w:t>эк</w:t>
                  </w:r>
                </w:p>
              </w:tc>
              <w:tc>
                <w:tcPr>
                  <w:tcW w:w="1435" w:type="dxa"/>
                </w:tcPr>
                <w:p>
                  <w:pPr>
                    <w:widowControl w:val="1"/>
                    <w:spacing w:before="100" w:after="100" w:beforeAutospacing="1" w:afterAutospacing="1"/>
                    <w:jc w:val="center"/>
                    <w:rPr>
                      <w:rFonts w:ascii="Times New Roman" w:hAnsi="Times New Roman"/>
                      <w:color w:val="auto"/>
                    </w:rPr>
                  </w:pPr>
                  <w:r>
                    <w:rPr>
                      <w:rFonts w:ascii="Times New Roman" w:hAnsi="Times New Roman"/>
                      <w:i w:val="1"/>
                      <w:color w:val="auto"/>
                    </w:rPr>
                    <w:t>с</w:t>
                  </w:r>
                  <w:r>
                    <w:rPr>
                      <w:rFonts w:ascii="Times New Roman" w:hAnsi="Times New Roman"/>
                      <w:i w:val="1"/>
                      <w:color w:val="auto"/>
                      <w:vertAlign w:val="subscript"/>
                    </w:rPr>
                    <w:t>эк</w:t>
                  </w:r>
                </w:p>
              </w:tc>
              <w:tc>
                <w:tcPr>
                  <w:tcW w:w="850" w:type="dxa"/>
                </w:tcPr>
                <w:p>
                  <w:pPr>
                    <w:widowControl w:val="1"/>
                    <w:spacing w:before="100" w:after="100" w:beforeAutospacing="1" w:afterAutospacing="1"/>
                    <w:jc w:val="center"/>
                    <w:rPr>
                      <w:rFonts w:ascii="Times New Roman" w:hAnsi="Times New Roman"/>
                      <w:color w:val="auto"/>
                    </w:rPr>
                  </w:pPr>
                  <w:r>
                    <w:rPr>
                      <w:rFonts w:ascii="Times New Roman" w:hAnsi="Times New Roman"/>
                      <w:color w:val="auto"/>
                      <w:sz w:val="22"/>
                    </w:rPr>
                    <w:t>Δτ</w:t>
                  </w:r>
                </w:p>
              </w:tc>
              <w:tc>
                <w:tcPr>
                  <w:tcW w:w="851" w:type="dxa"/>
                </w:tcPr>
                <w:p>
                  <w:pPr>
                    <w:widowControl w:val="1"/>
                    <w:spacing w:before="100" w:after="100" w:beforeAutospacing="1" w:afterAutospacing="1"/>
                    <w:jc w:val="center"/>
                    <w:rPr>
                      <w:rFonts w:ascii="Times New Roman" w:hAnsi="Times New Roman"/>
                      <w:color w:val="auto"/>
                    </w:rPr>
                  </w:pPr>
                  <w:r>
                    <w:rPr>
                      <w:rFonts w:ascii="Times New Roman" w:hAnsi="Times New Roman"/>
                      <w:i w:val="1"/>
                      <w:color w:val="auto"/>
                    </w:rPr>
                    <w:t>r</w:t>
                  </w:r>
                </w:p>
              </w:tc>
              <w:tc>
                <w:tcPr>
                  <w:tcW w:w="992" w:type="dxa"/>
                </w:tcPr>
                <w:p>
                  <w:pPr>
                    <w:widowControl w:val="1"/>
                    <w:spacing w:before="100" w:after="100" w:beforeAutospacing="1" w:afterAutospacing="1"/>
                    <w:jc w:val="center"/>
                    <w:rPr>
                      <w:rFonts w:ascii="Times New Roman" w:hAnsi="Times New Roman"/>
                      <w:color w:val="auto"/>
                    </w:rPr>
                  </w:pPr>
                  <w:r>
                    <w:rPr>
                      <w:rFonts w:ascii="Times New Roman" w:hAnsi="Times New Roman"/>
                      <w:i w:val="1"/>
                      <w:color w:val="auto"/>
                    </w:rPr>
                    <w:t>Δr</w:t>
                  </w:r>
                </w:p>
              </w:tc>
              <w:tc>
                <w:tcPr>
                  <w:tcW w:w="992" w:type="dxa"/>
                </w:tcPr>
                <w:p>
                  <w:pPr>
                    <w:widowControl w:val="1"/>
                    <w:spacing w:before="100" w:after="100" w:beforeAutospacing="1" w:afterAutospacing="1"/>
                    <w:jc w:val="center"/>
                    <w:rPr>
                      <w:rFonts w:ascii="Times New Roman" w:hAnsi="Times New Roman"/>
                      <w:color w:val="auto"/>
                    </w:rPr>
                  </w:pPr>
                  <w:r>
                    <w:rPr>
                      <w:rFonts w:ascii="Times New Roman" w:hAnsi="Times New Roman"/>
                      <w:i w:val="1"/>
                      <w:color w:val="auto"/>
                    </w:rPr>
                    <w:t>q</w:t>
                  </w:r>
                  <w:r>
                    <w:rPr>
                      <w:rFonts w:ascii="Times New Roman" w:hAnsi="Times New Roman"/>
                      <w:i w:val="1"/>
                      <w:color w:val="auto"/>
                      <w:vertAlign w:val="subscript"/>
                    </w:rPr>
                    <w:t>V</w:t>
                  </w:r>
                </w:p>
              </w:tc>
            </w:tr>
            <w:tr>
              <w:trPr>
                <w:jc w:val="center"/>
              </w:trPr>
              <w:tc>
                <w:tcPr>
                  <w:tcW w:w="1238" w:type="dxa"/>
                </w:tcPr>
                <w:p>
                  <w:pPr>
                    <w:widowControl w:val="1"/>
                    <w:spacing w:before="100" w:after="100" w:beforeAutospacing="1" w:afterAutospacing="1"/>
                    <w:jc w:val="center"/>
                    <w:rPr>
                      <w:rFonts w:ascii="Times New Roman" w:hAnsi="Times New Roman"/>
                      <w:color w:val="auto"/>
                    </w:rPr>
                  </w:pPr>
                  <w:r>
                    <w:rPr>
                      <w:rFonts w:ascii="Times New Roman" w:hAnsi="Times New Roman"/>
                      <w:color w:val="auto"/>
                    </w:rPr>
                    <w:t>Вт/(м·К)</w:t>
                  </w:r>
                </w:p>
              </w:tc>
              <w:tc>
                <w:tcPr>
                  <w:tcW w:w="992" w:type="dxa"/>
                </w:tcPr>
                <w:p>
                  <w:pPr>
                    <w:widowControl w:val="1"/>
                    <w:spacing w:before="100" w:after="100" w:beforeAutospacing="1" w:afterAutospacing="1"/>
                    <w:jc w:val="center"/>
                    <w:rPr>
                      <w:rFonts w:ascii="Times New Roman" w:hAnsi="Times New Roman"/>
                      <w:color w:val="auto"/>
                    </w:rPr>
                  </w:pPr>
                  <w:r>
                    <w:rPr>
                      <w:rFonts w:ascii="Times New Roman" w:hAnsi="Times New Roman"/>
                      <w:color w:val="auto"/>
                    </w:rPr>
                    <w:t>кг/м</w:t>
                  </w:r>
                  <w:r>
                    <w:rPr>
                      <w:rFonts w:ascii="Times New Roman" w:hAnsi="Times New Roman"/>
                      <w:color w:val="auto"/>
                      <w:vertAlign w:val="superscript"/>
                    </w:rPr>
                    <w:t>3</w:t>
                  </w:r>
                </w:p>
              </w:tc>
              <w:tc>
                <w:tcPr>
                  <w:tcW w:w="1435" w:type="dxa"/>
                </w:tcPr>
                <w:p>
                  <w:pPr>
                    <w:widowControl w:val="1"/>
                    <w:spacing w:before="100" w:after="100" w:beforeAutospacing="1" w:afterAutospacing="1"/>
                    <w:jc w:val="center"/>
                    <w:rPr>
                      <w:rFonts w:ascii="Times New Roman" w:hAnsi="Times New Roman"/>
                      <w:color w:val="auto"/>
                    </w:rPr>
                  </w:pPr>
                  <w:r>
                    <w:rPr>
                      <w:rFonts w:ascii="Times New Roman" w:hAnsi="Times New Roman"/>
                      <w:color w:val="auto"/>
                    </w:rPr>
                    <w:t>Дж/(кг·град)</w:t>
                  </w:r>
                </w:p>
              </w:tc>
              <w:tc>
                <w:tcPr>
                  <w:tcW w:w="850" w:type="dxa"/>
                </w:tcPr>
                <w:p>
                  <w:pPr>
                    <w:widowControl w:val="1"/>
                    <w:spacing w:before="100" w:after="100" w:beforeAutospacing="1" w:afterAutospacing="1"/>
                    <w:jc w:val="center"/>
                    <w:rPr>
                      <w:rFonts w:ascii="Times New Roman" w:hAnsi="Times New Roman"/>
                      <w:color w:val="auto"/>
                    </w:rPr>
                  </w:pPr>
                  <w:r>
                    <w:rPr>
                      <w:rFonts w:ascii="Times New Roman" w:hAnsi="Times New Roman"/>
                      <w:color w:val="auto"/>
                    </w:rPr>
                    <w:t>с</w:t>
                  </w:r>
                </w:p>
              </w:tc>
              <w:tc>
                <w:tcPr>
                  <w:tcW w:w="851" w:type="dxa"/>
                </w:tcPr>
                <w:p>
                  <w:pPr>
                    <w:widowControl w:val="1"/>
                    <w:spacing w:before="100" w:after="100" w:beforeAutospacing="1" w:afterAutospacing="1"/>
                    <w:jc w:val="center"/>
                    <w:rPr>
                      <w:rFonts w:ascii="Times New Roman" w:hAnsi="Times New Roman"/>
                      <w:color w:val="auto"/>
                    </w:rPr>
                  </w:pPr>
                  <w:r>
                    <w:rPr>
                      <w:rFonts w:ascii="Times New Roman" w:hAnsi="Times New Roman"/>
                      <w:color w:val="auto"/>
                    </w:rPr>
                    <w:t>м</w:t>
                  </w:r>
                </w:p>
              </w:tc>
              <w:tc>
                <w:tcPr>
                  <w:tcW w:w="992" w:type="dxa"/>
                </w:tcPr>
                <w:p>
                  <w:pPr>
                    <w:widowControl w:val="1"/>
                    <w:spacing w:before="100" w:after="100" w:beforeAutospacing="1" w:afterAutospacing="1"/>
                    <w:jc w:val="center"/>
                    <w:rPr>
                      <w:rFonts w:ascii="Times New Roman" w:hAnsi="Times New Roman"/>
                      <w:color w:val="auto"/>
                    </w:rPr>
                  </w:pPr>
                  <w:r>
                    <w:rPr>
                      <w:rFonts w:ascii="Times New Roman" w:hAnsi="Times New Roman"/>
                      <w:color w:val="auto"/>
                    </w:rPr>
                    <w:t>м</w:t>
                  </w:r>
                </w:p>
              </w:tc>
              <w:tc>
                <w:tcPr>
                  <w:tcW w:w="992" w:type="dxa"/>
                </w:tcPr>
                <w:p>
                  <w:pPr>
                    <w:widowControl w:val="1"/>
                    <w:spacing w:before="100" w:after="100" w:beforeAutospacing="1" w:afterAutospacing="1"/>
                    <w:jc w:val="center"/>
                    <w:rPr>
                      <w:rFonts w:ascii="Times New Roman" w:hAnsi="Times New Roman"/>
                      <w:color w:val="auto"/>
                    </w:rPr>
                  </w:pPr>
                  <w:r>
                    <w:rPr>
                      <w:rFonts w:ascii="Times New Roman" w:hAnsi="Times New Roman"/>
                      <w:color w:val="auto"/>
                      <w:sz w:val="22"/>
                    </w:rPr>
                    <w:t>Вт/м</w:t>
                  </w:r>
                  <w:r>
                    <w:rPr>
                      <w:rFonts w:ascii="Times New Roman" w:hAnsi="Times New Roman"/>
                      <w:color w:val="auto"/>
                      <w:sz w:val="22"/>
                      <w:vertAlign w:val="superscript"/>
                    </w:rPr>
                    <w:t>3</w:t>
                  </w:r>
                </w:p>
              </w:tc>
            </w:tr>
            <w:tr>
              <w:trPr>
                <w:jc w:val="center"/>
              </w:trPr>
              <w:tc>
                <w:tcPr>
                  <w:tcW w:w="1238" w:type="dxa"/>
                </w:tcPr>
                <w:p>
                  <w:pPr>
                    <w:widowControl w:val="1"/>
                    <w:spacing w:before="100" w:after="100" w:beforeAutospacing="1" w:afterAutospacing="1"/>
                    <w:jc w:val="center"/>
                    <w:rPr>
                      <w:rFonts w:ascii="Times New Roman" w:hAnsi="Times New Roman"/>
                      <w:color w:val="auto"/>
                    </w:rPr>
                  </w:pPr>
                  <w:r>
                    <w:rPr>
                      <w:rFonts w:ascii="Times New Roman" w:hAnsi="Times New Roman"/>
                      <w:b w:val="1"/>
                      <w:color w:val="auto"/>
                    </w:rPr>
                    <w:t>1,04</w:t>
                  </w:r>
                </w:p>
              </w:tc>
              <w:tc>
                <w:tcPr>
                  <w:tcW w:w="992" w:type="dxa"/>
                </w:tcPr>
                <w:p>
                  <w:pPr>
                    <w:widowControl w:val="1"/>
                    <w:spacing w:before="100" w:after="100" w:beforeAutospacing="1" w:afterAutospacing="1"/>
                    <w:jc w:val="center"/>
                    <w:rPr>
                      <w:rFonts w:ascii="Times New Roman" w:hAnsi="Times New Roman"/>
                      <w:color w:val="auto"/>
                    </w:rPr>
                  </w:pPr>
                  <w:r>
                    <w:rPr>
                      <w:rFonts w:ascii="Times New Roman" w:hAnsi="Times New Roman"/>
                      <w:color w:val="auto"/>
                    </w:rPr>
                    <w:t>2204</w:t>
                  </w:r>
                </w:p>
              </w:tc>
              <w:tc>
                <w:tcPr>
                  <w:tcW w:w="1435" w:type="dxa"/>
                </w:tcPr>
                <w:p>
                  <w:pPr>
                    <w:widowControl w:val="1"/>
                    <w:spacing w:before="100" w:after="100" w:beforeAutospacing="1" w:afterAutospacing="1"/>
                    <w:jc w:val="center"/>
                    <w:rPr>
                      <w:rFonts w:ascii="Times New Roman" w:hAnsi="Times New Roman"/>
                      <w:color w:val="auto"/>
                    </w:rPr>
                  </w:pPr>
                  <w:r>
                    <w:rPr>
                      <w:rFonts w:ascii="Times New Roman" w:hAnsi="Times New Roman"/>
                      <w:b w:val="1"/>
                      <w:color w:val="auto"/>
                    </w:rPr>
                    <w:t>134</w:t>
                  </w:r>
                </w:p>
              </w:tc>
              <w:tc>
                <w:tcPr>
                  <w:tcW w:w="850" w:type="dxa"/>
                </w:tcPr>
                <w:p>
                  <w:pPr>
                    <w:widowControl w:val="1"/>
                    <w:spacing w:before="100" w:after="100" w:beforeAutospacing="1" w:afterAutospacing="1"/>
                    <w:jc w:val="center"/>
                    <w:rPr>
                      <w:rFonts w:ascii="Times New Roman" w:hAnsi="Times New Roman"/>
                      <w:color w:val="auto"/>
                    </w:rPr>
                  </w:pPr>
                  <w:r>
                    <w:rPr>
                      <w:rFonts w:ascii="Times New Roman" w:hAnsi="Times New Roman"/>
                      <w:color w:val="auto"/>
                      <w:sz w:val="22"/>
                    </w:rPr>
                    <w:t>360</w:t>
                  </w:r>
                </w:p>
              </w:tc>
              <w:tc>
                <w:tcPr>
                  <w:tcW w:w="851" w:type="dxa"/>
                </w:tcPr>
                <w:p>
                  <w:pPr>
                    <w:widowControl w:val="1"/>
                    <w:spacing w:before="100" w:after="100" w:beforeAutospacing="1" w:afterAutospacing="1"/>
                    <w:jc w:val="center"/>
                    <w:rPr>
                      <w:rFonts w:ascii="Times New Roman" w:hAnsi="Times New Roman"/>
                      <w:color w:val="auto"/>
                    </w:rPr>
                  </w:pPr>
                  <w:r>
                    <w:rPr>
                      <w:rFonts w:ascii="Times New Roman" w:hAnsi="Times New Roman"/>
                      <w:color w:val="auto"/>
                      <w:sz w:val="22"/>
                    </w:rPr>
                    <w:t>0,6</w:t>
                  </w:r>
                </w:p>
              </w:tc>
              <w:tc>
                <w:tcPr>
                  <w:tcW w:w="992" w:type="dxa"/>
                </w:tcPr>
                <w:p>
                  <w:pPr>
                    <w:widowControl w:val="1"/>
                    <w:spacing w:before="100" w:after="100" w:beforeAutospacing="1" w:afterAutospacing="1"/>
                    <w:jc w:val="center"/>
                    <w:rPr>
                      <w:rFonts w:ascii="Times New Roman" w:hAnsi="Times New Roman"/>
                      <w:color w:val="auto"/>
                    </w:rPr>
                  </w:pPr>
                  <w:r>
                    <w:rPr>
                      <w:rFonts w:ascii="Times New Roman" w:hAnsi="Times New Roman"/>
                      <w:color w:val="auto"/>
                      <w:sz w:val="22"/>
                    </w:rPr>
                    <w:t>0,06</w:t>
                  </w:r>
                </w:p>
              </w:tc>
              <w:tc>
                <w:tcPr>
                  <w:tcW w:w="992" w:type="dxa"/>
                </w:tcPr>
                <w:p>
                  <w:pPr>
                    <w:widowControl w:val="1"/>
                    <w:spacing w:before="100" w:after="100" w:beforeAutospacing="1" w:afterAutospacing="1"/>
                    <w:jc w:val="center"/>
                    <w:rPr>
                      <w:rFonts w:ascii="Times New Roman" w:hAnsi="Times New Roman"/>
                      <w:color w:val="auto"/>
                    </w:rPr>
                  </w:pPr>
                  <w:r>
                    <w:rPr>
                      <w:rFonts w:ascii="Times New Roman" w:hAnsi="Times New Roman"/>
                      <w:color w:val="auto"/>
                      <w:sz w:val="22"/>
                    </w:rPr>
                    <w:t>191,5</w:t>
                  </w:r>
                </w:p>
              </w:tc>
            </w:tr>
          </w:tbl>
          <w:p>
            <w:pPr>
              <w:rPr>
                <w:rFonts w:ascii="Times New Roman" w:hAnsi="Times New Roman"/>
                <w:color w:val="auto"/>
              </w:rPr>
            </w:pPr>
          </w:p>
        </w:tc>
      </w:tr>
      <w:tr>
        <w:tc>
          <w:tcPr>
            <w:tcW w:w="9627" w:type="dxa"/>
          </w:tcPr>
          <w:p>
            <w:pPr>
              <w:widowControl w:val="1"/>
              <w:ind w:left="369"/>
              <w:rPr>
                <w:rFonts w:ascii="Times New Roman" w:hAnsi="Times New Roman"/>
                <w:b w:val="1"/>
                <w:color w:val="auto"/>
                <w:sz w:val="17"/>
              </w:rPr>
            </w:pPr>
            <w:r>
              <w:rPr>
                <w:rFonts w:ascii="Times New Roman" w:hAnsi="Times New Roman"/>
                <w:b w:val="1"/>
                <w:color w:val="auto"/>
                <w:sz w:val="20"/>
              </w:rPr>
              <w:t xml:space="preserve">VI. </w:t>
            </w:r>
            <w:r>
              <w:rPr>
                <w:rFonts w:ascii="Times New Roman" w:hAnsi="Times New Roman"/>
                <w:b w:val="1"/>
                <w:color w:val="auto"/>
                <w:sz w:val="17"/>
              </w:rPr>
              <w:t xml:space="preserve">РЕЗУЛЬТАТН РОЗРАХУНКІВ </w:t>
            </w:r>
          </w:p>
          <w:p>
            <w:pPr>
              <w:widowControl w:val="1"/>
              <w:ind w:firstLine="369"/>
              <w:rPr>
                <w:rFonts w:ascii="Times New Roman" w:hAnsi="Times New Roman"/>
                <w:color w:val="auto"/>
              </w:rPr>
            </w:pPr>
            <w:r>
              <w:rPr>
                <w:rFonts w:ascii="Times New Roman" w:hAnsi="Times New Roman"/>
                <w:color w:val="auto"/>
              </w:rPr>
              <w:t xml:space="preserve">Розрахунки виконано за умови постійної температури на поверхні виїмної частини контейнеру.  Початкове значення температури прийнято відповідно до умов вивантаження з басейнів витримки. Радіальні кроки прийняті дорівнюючими 0,1 радіуса виїмної частини, а кроки часу прийняті з умов забезпечення мінімальної похибки розрахунку.</w:t>
            </w:r>
          </w:p>
          <w:p>
            <w:pPr>
              <w:widowControl w:val="1"/>
              <w:ind w:firstLine="369"/>
              <w:rPr>
                <w:rFonts w:ascii="Times New Roman" w:hAnsi="Times New Roman"/>
                <w:color w:val="auto"/>
              </w:rPr>
            </w:pPr>
            <w:r>
              <w:rPr>
                <w:rFonts w:ascii="Times New Roman" w:hAnsi="Times New Roman"/>
                <w:color w:val="auto"/>
              </w:rPr>
              <w:t xml:space="preserve">Результати розрахунків дозволяють стверджувати, що  при початковій температурі перевантаження ТВС з басейнів витримки у виємну корзину контейнера 25°С і залишковому тепловиділенні 3,2 Вт/ТВЕЛ найбільше підвищення температури, очікувано,  спостерігається в центральній зоні. Час досягнення найбільшої температури в центрі не перевищує 72 години і сягає близько 79°С. В середній зони температура не перевищує 71°С, а на поверхні складає менше 37°С.</w:t>
            </w:r>
          </w:p>
          <w:p>
            <w:pPr>
              <w:keepNext w:val="0"/>
              <w:keepLines w:val="1"/>
              <w:widowControl w:val="1"/>
              <w:shd w:val="clear" w:fill="auto"/>
              <w:spacing w:lineRule="auto" w:line="240" w:beforeAutospacing="0" w:afterAutospacing="0"/>
              <w:ind w:firstLine="0"/>
              <w:jc w:val="center"/>
              <w:rPr>
                <w:rFonts w:ascii="Times New Roman" w:hAnsi="Times New Roman"/>
                <w:color w:val="auto"/>
              </w:rPr>
            </w:pPr>
            <w:bookmarkStart w:id="0" w:name="_dx_frag_StartFragment"/>
            <w:bookmarkEnd w:id="0"/>
            <w:r>
              <w:drawing>
                <wp:inline xmlns:wp="http://schemas.openxmlformats.org/drawingml/2006/wordprocessingDrawing">
                  <wp:extent cx="3952875" cy="2105025"/>
                  <wp:docPr id="10" name="Picture 10"/>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elimage10"/>
                          <a:stretch>
                            <a:fillRect/>
                          </a:stretch>
                        </pic:blipFill>
                        <pic:spPr>
                          <a:xfrm>
                            <a:off x="0" y="0"/>
                            <a:ext cx="3952875" cy="2105025"/>
                          </a:xfrm>
                          <a:prstGeom prst="rect"/>
                          <a:noFill/>
                        </pic:spPr>
                      </pic:pic>
                    </a:graphicData>
                  </a:graphic>
                </wp:inline>
              </w:drawing>
            </w:r>
            <w:r>
              <w:t xml:space="preserve"> </w:t>
            </w:r>
          </w:p>
          <w:p>
            <w:pPr>
              <w:jc w:val="center"/>
              <w:rPr>
                <w:rFonts w:ascii="Times New Roman" w:hAnsi="Times New Roman"/>
                <w:b w:val="1"/>
                <w:color w:val="auto"/>
                <w:sz w:val="20"/>
              </w:rPr>
            </w:pPr>
            <w:r>
              <w:rPr>
                <w:rFonts w:ascii="Times New Roman" w:hAnsi="Times New Roman"/>
                <w:color w:val="auto"/>
              </w:rPr>
              <w:t>Рис.4. Інтенсивність підвищення температури по зонам радіальної коордінати.</w:t>
            </w:r>
          </w:p>
          <w:p>
            <w:pPr>
              <w:rPr>
                <w:rFonts w:ascii="Times New Roman" w:hAnsi="Times New Roman"/>
                <w:b w:val="1"/>
                <w:color w:val="auto"/>
                <w:sz w:val="20"/>
              </w:rPr>
            </w:pPr>
          </w:p>
          <w:p>
            <w:pPr>
              <w:ind w:firstLine="369"/>
              <w:rPr>
                <w:rFonts w:ascii="Times New Roman" w:hAnsi="Times New Roman"/>
                <w:color w:val="auto"/>
              </w:rPr>
            </w:pPr>
            <w:r>
              <w:rPr>
                <w:rFonts w:ascii="Times New Roman" w:hAnsi="Times New Roman"/>
                <w:color w:val="auto"/>
              </w:rPr>
              <w:t>Спостереження у продовж 200 годин довели, що температура на рівні більше 70°С зберігається в зоні від центру до середини радіусу. Далі вона інтенсивно знижується до 36,4°С.</w:t>
            </w:r>
          </w:p>
          <w:p>
            <w:pPr>
              <w:widowControl w:val="1"/>
              <w:jc w:val="center"/>
              <w:rPr>
                <w:rFonts w:ascii="Times New Roman" w:hAnsi="Times New Roman"/>
                <w:color w:val="auto"/>
              </w:rPr>
            </w:pPr>
            <w:bookmarkStart w:id="1" w:name="_dx_frag_StartFragment"/>
            <w:bookmarkEnd w:id="1"/>
            <w:r>
              <w:drawing>
                <wp:inline xmlns:wp="http://schemas.openxmlformats.org/drawingml/2006/wordprocessingDrawing">
                  <wp:extent cx="4048125" cy="2009775"/>
                  <wp:docPr id="11" name="Picture 11"/>
                  <a:graphic xmlns:a="http://schemas.openxmlformats.org/drawingml/2006/main">
                    <a:graphicData uri="http://schemas.openxmlformats.org/drawingml/2006/picture">
                      <pic:pic xmlns:pic="http://schemas.openxmlformats.org/drawingml/2006/picture">
                        <pic:nvPicPr>
                          <pic:cNvPr id="11" name="Picture 11"/>
                          <pic:cNvPicPr/>
                        </pic:nvPicPr>
                        <pic:blipFill>
                          <a:blip xmlns:r="http://schemas.openxmlformats.org/officeDocument/2006/relationships" r:embed="Relimage11"/>
                          <a:stretch>
                            <a:fillRect/>
                          </a:stretch>
                        </pic:blipFill>
                        <pic:spPr>
                          <a:xfrm>
                            <a:off x="0" y="0"/>
                            <a:ext cx="4048125" cy="2009775"/>
                          </a:xfrm>
                          <a:prstGeom prst="rect"/>
                          <a:noFill/>
                        </pic:spPr>
                      </pic:pic>
                    </a:graphicData>
                  </a:graphic>
                </wp:inline>
              </w:drawing>
            </w:r>
            <w:r>
              <w:t xml:space="preserve"> </w:t>
            </w:r>
          </w:p>
          <w:p>
            <w:pPr>
              <w:jc w:val="center"/>
              <w:rPr>
                <w:rFonts w:ascii="Times New Roman" w:hAnsi="Times New Roman"/>
                <w:b w:val="1"/>
                <w:color w:val="auto"/>
                <w:sz w:val="17"/>
              </w:rPr>
            </w:pPr>
            <w:r>
              <w:rPr>
                <w:rFonts w:ascii="Times New Roman" w:hAnsi="Times New Roman"/>
                <w:color w:val="auto"/>
              </w:rPr>
              <w:t>Рис.5. Час досягнення стаціонарного теплового стану.</w:t>
            </w:r>
          </w:p>
          <w:p>
            <w:pPr>
              <w:ind w:firstLine="369"/>
              <w:rPr>
                <w:rFonts w:ascii="Times New Roman" w:hAnsi="Times New Roman"/>
                <w:b w:val="1"/>
                <w:color w:val="auto"/>
                <w:sz w:val="20"/>
              </w:rPr>
            </w:pPr>
          </w:p>
          <w:p>
            <w:pPr>
              <w:ind w:firstLine="369"/>
              <w:rPr>
                <w:rFonts w:ascii="Times New Roman" w:hAnsi="Times New Roman"/>
                <w:b w:val="1"/>
                <w:color w:val="auto"/>
                <w:sz w:val="20"/>
              </w:rPr>
            </w:pPr>
            <w:r>
              <w:rPr>
                <w:rFonts w:ascii="Times New Roman" w:hAnsi="Times New Roman"/>
                <w:color w:val="auto"/>
              </w:rPr>
              <w:t>Застосована методика дозволяє досліджувати вплив початкової температури та залишкового тепловиділення на тепловий режим відпрацьованого палива в транспортному контейнері під час перевезення і подальшого зберігання.</w:t>
            </w:r>
          </w:p>
        </w:tc>
      </w:tr>
      <w:tr>
        <w:tc>
          <w:tcPr>
            <w:tcW w:w="9627" w:type="dxa"/>
          </w:tcPr>
          <w:p>
            <w:pPr>
              <w:ind w:left="360"/>
              <w:rPr>
                <w:rFonts w:ascii="Times New Roman" w:hAnsi="Times New Roman"/>
                <w:b w:val="1"/>
                <w:color w:val="auto"/>
                <w:sz w:val="17"/>
              </w:rPr>
            </w:pPr>
            <w:r>
              <w:rPr>
                <w:rFonts w:ascii="Times New Roman" w:hAnsi="Times New Roman"/>
                <w:b w:val="1"/>
                <w:color w:val="auto"/>
                <w:sz w:val="20"/>
              </w:rPr>
              <w:t xml:space="preserve">VII. </w:t>
            </w:r>
            <w:r>
              <w:rPr>
                <w:rFonts w:ascii="Times New Roman" w:hAnsi="Times New Roman"/>
                <w:b w:val="1"/>
                <w:color w:val="auto"/>
                <w:sz w:val="17"/>
              </w:rPr>
              <w:t>ВИСНОВКИ</w:t>
            </w:r>
          </w:p>
          <w:p>
            <w:pPr>
              <w:spacing w:lineRule="auto" w:line="276" w:beforeAutospacing="0" w:afterAutospacing="0"/>
              <w:ind w:firstLine="360"/>
              <w:rPr>
                <w:rFonts w:ascii="Times New Roman" w:hAnsi="Times New Roman"/>
                <w:color w:val="auto"/>
              </w:rPr>
            </w:pPr>
            <w:r>
              <w:rPr>
                <w:rFonts w:ascii="Times New Roman" w:hAnsi="Times New Roman"/>
                <w:color w:val="auto"/>
              </w:rPr>
              <w:t xml:space="preserve">В роботі застосовано ітеративний підхід щодо визначення теплового стану відпрацьованого ядерного палива при його транспортуванні і сухому зберіганні. Визначено, що найвища температура в центрі виїмної частини при підтримані постійної температури на її зовнішній межи на рівні 25°С не перевищує 80°С.  Час досягнення найвищої температури складає близько трьох доб. Від центру до середини радіусу температура знижується до 70°С, а далі, до кінця радіусу швидко знижується до 35°С.</w:t>
            </w:r>
          </w:p>
          <w:p>
            <w:pPr>
              <w:spacing w:lineRule="auto" w:line="276" w:after="60" w:beforeAutospacing="0" w:afterAutospacing="0"/>
              <w:ind w:firstLine="357"/>
              <w:rPr>
                <w:rFonts w:ascii="Times New Roman" w:hAnsi="Times New Roman"/>
                <w:b w:val="1"/>
                <w:color w:val="auto"/>
                <w:sz w:val="20"/>
              </w:rPr>
            </w:pPr>
            <w:r>
              <w:rPr>
                <w:rFonts w:ascii="Times New Roman" w:hAnsi="Times New Roman"/>
                <w:color w:val="auto"/>
              </w:rPr>
              <w:t>Отримані результати досліджень підтвердили теплову безпеку експлуатації контейнерів подвійного призначення для транспортування і зберігання ВЯІІ. Отримані дані можуть бути використані також для розробки конструктивних та технологічних рішень стосовно створення або модернізації обладнання зберігання відпрацьованого ядерного палива.</w:t>
            </w:r>
          </w:p>
        </w:tc>
      </w:tr>
      <w:tr>
        <w:tc>
          <w:tcPr>
            <w:tcW w:w="9627" w:type="dxa"/>
          </w:tcPr>
          <w:p>
            <w:pPr>
              <w:ind w:left="357"/>
              <w:jc w:val="center"/>
              <w:rPr>
                <w:rFonts w:ascii="Times New Roman" w:hAnsi="Times New Roman"/>
                <w:b w:val="1"/>
                <w:color w:val="auto"/>
                <w:sz w:val="24"/>
              </w:rPr>
            </w:pPr>
          </w:p>
          <w:p>
            <w:pPr>
              <w:ind w:left="357"/>
              <w:jc w:val="center"/>
              <w:rPr>
                <w:rFonts w:ascii="Times New Roman" w:hAnsi="Times New Roman"/>
                <w:b w:val="1"/>
                <w:color w:val="auto"/>
                <w:sz w:val="24"/>
              </w:rPr>
            </w:pPr>
            <w:r>
              <w:rPr>
                <w:rFonts w:ascii="Times New Roman" w:hAnsi="Times New Roman"/>
                <w:b w:val="1"/>
                <w:color w:val="auto"/>
                <w:sz w:val="24"/>
              </w:rPr>
              <w:t xml:space="preserve"> СПИСОК ЛІТЕРАТУРИ</w:t>
            </w:r>
          </w:p>
          <w:p>
            <w:pPr>
              <w:ind w:left="357"/>
              <w:jc w:val="center"/>
              <w:rPr>
                <w:rFonts w:ascii="Times New Roman" w:hAnsi="Times New Roman"/>
                <w:b w:val="1"/>
                <w:color w:val="auto"/>
                <w:sz w:val="24"/>
              </w:rPr>
            </w:pPr>
          </w:p>
          <w:tbl>
            <w:tblPr>
              <w:tblStyle w:val="T2"/>
              <w:tblW w:w="9356" w:type="dxa"/>
              <w:jc w:val="center"/>
              <w:tblCellMar>
                <w:left w:w="28" w:type="dxa"/>
                <w:right w:w="28" w:type="dxa"/>
              </w:tblCellMar>
              <w:tblLook w:val="04A0"/>
            </w:tblPr>
            <w:tblGrid/>
            <w:tr>
              <w:trPr>
                <w:jc w:val="center"/>
              </w:trPr>
              <w:tc>
                <w:tcPr>
                  <w:tcW w:w="360" w:type="dxa"/>
                  <w:vAlign w:val="center"/>
                </w:tcPr>
                <w:p>
                  <w:pPr>
                    <w:jc w:val="center"/>
                    <w:rPr>
                      <w:rFonts w:ascii="Times New Roman" w:hAnsi="Times New Roman"/>
                      <w:color w:val="auto"/>
                      <w:sz w:val="24"/>
                    </w:rPr>
                  </w:pPr>
                  <w:r>
                    <w:rPr>
                      <w:rFonts w:ascii="Times New Roman" w:hAnsi="Times New Roman"/>
                      <w:color w:val="auto"/>
                      <w:sz w:val="24"/>
                    </w:rPr>
                    <w:t>1</w:t>
                  </w:r>
                </w:p>
              </w:tc>
              <w:tc>
                <w:tcPr>
                  <w:tcW w:w="8996" w:type="dxa"/>
                </w:tcPr>
                <w:p>
                  <w:pPr>
                    <w:jc w:val="both"/>
                    <w:rPr>
                      <w:rFonts w:ascii="Times New Roman" w:hAnsi="Times New Roman"/>
                      <w:color w:val="auto"/>
                      <w:sz w:val="24"/>
                    </w:rPr>
                  </w:pPr>
                  <w:r>
                    <w:rPr>
                      <w:rFonts w:ascii="Times New Roman" w:hAnsi="Times New Roman"/>
                      <w:color w:val="auto"/>
                      <w:sz w:val="24"/>
                    </w:rPr>
                    <w:t>Evaluation of the use of Homogenized Fuel Assemblies in the Thermal Analysis of Spent Fuel Storage Casks / G.</w:t>
                  </w:r>
                  <w:r>
                    <w:rPr>
                      <w:rFonts w:ascii="Times New Roman" w:hAnsi="Times New Roman"/>
                      <w:color w:val="auto"/>
                      <w:sz w:val="24"/>
                    </w:rPr>
                    <w:t xml:space="preserve"> </w:t>
                  </w:r>
                  <w:r>
                    <w:rPr>
                      <w:rFonts w:ascii="Times New Roman" w:hAnsi="Times New Roman"/>
                      <w:color w:val="auto"/>
                      <w:sz w:val="24"/>
                    </w:rPr>
                    <w:t>R. Thomas</w:t>
                  </w:r>
                  <w:r>
                    <w:rPr>
                      <w:rFonts w:ascii="Times New Roman" w:hAnsi="Times New Roman"/>
                      <w:color w:val="auto"/>
                      <w:sz w:val="24"/>
                    </w:rPr>
                    <w:t>,</w:t>
                  </w:r>
                  <w:r>
                    <w:rPr>
                      <w:rFonts w:ascii="Times New Roman" w:hAnsi="Times New Roman"/>
                      <w:color w:val="auto"/>
                      <w:sz w:val="24"/>
                    </w:rPr>
                    <w:t xml:space="preserve"> R.W. Carlson - Lawrence Livermore National Laboratory. 1999 - 45 P.</w:t>
                  </w:r>
                </w:p>
              </w:tc>
            </w:tr>
            <w:tr>
              <w:trPr>
                <w:jc w:val="center"/>
              </w:trPr>
              <w:tc>
                <w:tcPr>
                  <w:tcW w:w="360" w:type="dxa"/>
                  <w:vAlign w:val="center"/>
                </w:tcPr>
                <w:p>
                  <w:pPr>
                    <w:jc w:val="center"/>
                    <w:rPr>
                      <w:rFonts w:ascii="Times New Roman" w:hAnsi="Times New Roman"/>
                      <w:color w:val="auto"/>
                      <w:sz w:val="24"/>
                    </w:rPr>
                  </w:pPr>
                  <w:r>
                    <w:rPr>
                      <w:rFonts w:ascii="Times New Roman" w:hAnsi="Times New Roman"/>
                      <w:color w:val="auto"/>
                      <w:sz w:val="24"/>
                    </w:rPr>
                    <w:t>2</w:t>
                  </w:r>
                </w:p>
              </w:tc>
              <w:tc>
                <w:tcPr>
                  <w:tcW w:w="8996" w:type="dxa"/>
                </w:tcPr>
                <w:p>
                  <w:pPr>
                    <w:jc w:val="both"/>
                    <w:rPr>
                      <w:rFonts w:ascii="Times New Roman" w:hAnsi="Times New Roman"/>
                      <w:color w:val="auto"/>
                      <w:sz w:val="24"/>
                    </w:rPr>
                  </w:pPr>
                  <w:r>
                    <w:rPr>
                      <w:rFonts w:ascii="Times New Roman" w:hAnsi="Times New Roman"/>
                      <w:color w:val="auto"/>
                      <w:sz w:val="24"/>
                    </w:rPr>
                    <w:t>Murakami. J. Li. H. Peak Cladding Temperature in a Spent Fuel Storage or Transportation Cask / J. Li. H. Murakami</w:t>
                  </w:r>
                  <w:r>
                    <w:rPr>
                      <w:rFonts w:ascii="Times New Roman" w:hAnsi="Times New Roman"/>
                      <w:color w:val="auto"/>
                      <w:sz w:val="24"/>
                    </w:rPr>
                    <w:t>,</w:t>
                  </w:r>
                  <w:r>
                    <w:rPr>
                      <w:rFonts w:ascii="Times New Roman" w:hAnsi="Times New Roman"/>
                      <w:color w:val="auto"/>
                      <w:sz w:val="24"/>
                    </w:rPr>
                    <w:t xml:space="preserve"> Y. Liu</w:t>
                  </w:r>
                  <w:r>
                    <w:rPr>
                      <w:rFonts w:ascii="Times New Roman" w:hAnsi="Times New Roman"/>
                      <w:color w:val="auto"/>
                      <w:sz w:val="24"/>
                    </w:rPr>
                    <w:t>,</w:t>
                  </w:r>
                  <w:r>
                    <w:rPr>
                      <w:rFonts w:ascii="Times New Roman" w:hAnsi="Times New Roman"/>
                      <w:color w:val="auto"/>
                      <w:sz w:val="24"/>
                    </w:rPr>
                    <w:t xml:space="preserve"> P.</w:t>
                  </w:r>
                  <w:r>
                    <w:rPr>
                      <w:rFonts w:ascii="Times New Roman" w:hAnsi="Times New Roman"/>
                      <w:color w:val="auto"/>
                      <w:sz w:val="24"/>
                    </w:rPr>
                    <w:t xml:space="preserve"> </w:t>
                  </w:r>
                  <w:r>
                    <w:rPr>
                      <w:rFonts w:ascii="Times New Roman" w:hAnsi="Times New Roman"/>
                      <w:color w:val="auto"/>
                      <w:sz w:val="24"/>
                    </w:rPr>
                    <w:t>E.</w:t>
                  </w:r>
                  <w:r>
                    <w:rPr>
                      <w:rFonts w:ascii="Times New Roman" w:hAnsi="Times New Roman"/>
                      <w:color w:val="auto"/>
                      <w:sz w:val="24"/>
                    </w:rPr>
                    <w:t xml:space="preserve"> </w:t>
                  </w:r>
                  <w:r>
                    <w:rPr>
                      <w:rFonts w:ascii="Times New Roman" w:hAnsi="Times New Roman"/>
                      <w:color w:val="auto"/>
                      <w:sz w:val="24"/>
                    </w:rPr>
                    <w:t>A. Gomez</w:t>
                  </w:r>
                  <w:r>
                    <w:rPr>
                      <w:rFonts w:ascii="Times New Roman" w:hAnsi="Times New Roman"/>
                      <w:color w:val="auto"/>
                      <w:sz w:val="24"/>
                    </w:rPr>
                    <w:t>,</w:t>
                  </w:r>
                  <w:r>
                    <w:rPr>
                      <w:rFonts w:ascii="Times New Roman" w:hAnsi="Times New Roman"/>
                      <w:color w:val="auto"/>
                      <w:sz w:val="24"/>
                    </w:rPr>
                    <w:t xml:space="preserve"> M. Gudipati</w:t>
                  </w:r>
                  <w:r>
                    <w:rPr>
                      <w:rFonts w:ascii="Times New Roman" w:hAnsi="Times New Roman"/>
                      <w:color w:val="auto"/>
                      <w:sz w:val="24"/>
                    </w:rPr>
                    <w:t>,</w:t>
                  </w:r>
                  <w:r>
                    <w:rPr>
                      <w:rFonts w:ascii="Times New Roman" w:hAnsi="Times New Roman"/>
                      <w:color w:val="auto"/>
                      <w:sz w:val="24"/>
                    </w:rPr>
                    <w:t xml:space="preserve"> M. Greiner // The 12th International Conference on the Packaging and Transportation of Radioactive Materials. October 21-26. 2007. Miami. Florida. USA - 1-11 P.</w:t>
                  </w:r>
                </w:p>
              </w:tc>
            </w:tr>
            <w:tr>
              <w:trPr>
                <w:jc w:val="center"/>
              </w:trPr>
              <w:tc>
                <w:tcPr>
                  <w:tcW w:w="360" w:type="dxa"/>
                  <w:vAlign w:val="center"/>
                </w:tcPr>
                <w:p>
                  <w:pPr>
                    <w:jc w:val="center"/>
                    <w:rPr>
                      <w:rFonts w:ascii="Times New Roman" w:hAnsi="Times New Roman"/>
                      <w:color w:val="auto"/>
                      <w:sz w:val="24"/>
                    </w:rPr>
                  </w:pPr>
                  <w:r>
                    <w:rPr>
                      <w:rFonts w:ascii="Times New Roman" w:hAnsi="Times New Roman"/>
                      <w:color w:val="auto"/>
                      <w:sz w:val="24"/>
                    </w:rPr>
                    <w:t>3</w:t>
                  </w:r>
                </w:p>
              </w:tc>
              <w:tc>
                <w:tcPr>
                  <w:tcW w:w="8996" w:type="dxa"/>
                </w:tcPr>
                <w:p>
                  <w:pPr>
                    <w:jc w:val="both"/>
                    <w:rPr>
                      <w:rFonts w:ascii="Times New Roman" w:hAnsi="Times New Roman"/>
                      <w:color w:val="auto"/>
                      <w:sz w:val="24"/>
                    </w:rPr>
                  </w:pPr>
                  <w:r>
                    <w:rPr>
                      <w:rFonts w:ascii="Times New Roman" w:hAnsi="Times New Roman"/>
                      <w:color w:val="auto"/>
                      <w:sz w:val="24"/>
                    </w:rPr>
                    <w:t>Suffield, S.</w:t>
                  </w:r>
                  <w:r>
                    <w:rPr>
                      <w:rFonts w:ascii="Times New Roman" w:hAnsi="Times New Roman"/>
                      <w:color w:val="auto"/>
                      <w:sz w:val="24"/>
                    </w:rPr>
                    <w:t xml:space="preserve"> </w:t>
                  </w:r>
                  <w:r>
                    <w:rPr>
                      <w:rFonts w:ascii="Times New Roman" w:hAnsi="Times New Roman"/>
                      <w:color w:val="auto"/>
                      <w:sz w:val="24"/>
                    </w:rPr>
                    <w:t>R. Thermal Modeling of NUHOMS HSM- 15 and HSM-l Storage Modules at Calvert Cliffs Nuclear Power Station 1SFS1 / J.</w:t>
                  </w:r>
                  <w:r>
                    <w:rPr>
                      <w:rFonts w:ascii="Times New Roman" w:hAnsi="Times New Roman"/>
                      <w:color w:val="auto"/>
                      <w:sz w:val="24"/>
                    </w:rPr>
                    <w:t xml:space="preserve"> </w:t>
                  </w:r>
                  <w:r>
                    <w:rPr>
                      <w:rFonts w:ascii="Times New Roman" w:hAnsi="Times New Roman"/>
                      <w:color w:val="auto"/>
                      <w:sz w:val="24"/>
                    </w:rPr>
                    <w:t>M. Cuta</w:t>
                  </w:r>
                  <w:r>
                    <w:rPr>
                      <w:rFonts w:ascii="Times New Roman" w:hAnsi="Times New Roman"/>
                      <w:color w:val="auto"/>
                      <w:sz w:val="24"/>
                    </w:rPr>
                    <w:t>,</w:t>
                  </w:r>
                  <w:r>
                    <w:rPr>
                      <w:rFonts w:ascii="Times New Roman" w:hAnsi="Times New Roman"/>
                      <w:color w:val="auto"/>
                      <w:sz w:val="24"/>
                    </w:rPr>
                    <w:t xml:space="preserve"> J.</w:t>
                  </w:r>
                  <w:r>
                    <w:rPr>
                      <w:rFonts w:ascii="Times New Roman" w:hAnsi="Times New Roman"/>
                      <w:color w:val="auto"/>
                      <w:sz w:val="24"/>
                    </w:rPr>
                    <w:t xml:space="preserve"> </w:t>
                  </w:r>
                  <w:r>
                    <w:rPr>
                      <w:rFonts w:ascii="Times New Roman" w:hAnsi="Times New Roman"/>
                      <w:color w:val="auto"/>
                      <w:sz w:val="24"/>
                    </w:rPr>
                    <w:t>A. Fort</w:t>
                  </w:r>
                  <w:r>
                    <w:rPr>
                      <w:rFonts w:ascii="Times New Roman" w:hAnsi="Times New Roman"/>
                      <w:color w:val="auto"/>
                      <w:sz w:val="24"/>
                    </w:rPr>
                    <w:t>,</w:t>
                  </w:r>
                  <w:r>
                    <w:rPr>
                      <w:rFonts w:ascii="Times New Roman" w:hAnsi="Times New Roman"/>
                      <w:color w:val="auto"/>
                      <w:sz w:val="24"/>
                    </w:rPr>
                    <w:t xml:space="preserve"> B.</w:t>
                  </w:r>
                  <w:r>
                    <w:rPr>
                      <w:rFonts w:ascii="Times New Roman" w:hAnsi="Times New Roman"/>
                      <w:color w:val="auto"/>
                      <w:sz w:val="24"/>
                    </w:rPr>
                    <w:t xml:space="preserve"> </w:t>
                  </w:r>
                  <w:r>
                    <w:rPr>
                      <w:rFonts w:ascii="Times New Roman" w:hAnsi="Times New Roman"/>
                      <w:color w:val="auto"/>
                      <w:sz w:val="24"/>
                    </w:rPr>
                    <w:t>A. Collins</w:t>
                  </w:r>
                  <w:r>
                    <w:rPr>
                      <w:rFonts w:ascii="Times New Roman" w:hAnsi="Times New Roman"/>
                      <w:color w:val="auto"/>
                      <w:sz w:val="24"/>
                    </w:rPr>
                    <w:t>,</w:t>
                  </w:r>
                  <w:r>
                    <w:rPr>
                      <w:rFonts w:ascii="Times New Roman" w:hAnsi="Times New Roman"/>
                      <w:color w:val="auto"/>
                      <w:sz w:val="24"/>
                    </w:rPr>
                    <w:t xml:space="preserve"> </w:t>
                  </w:r>
                  <w:r>
                    <w:rPr>
                      <w:rFonts w:ascii="Times New Roman" w:hAnsi="Times New Roman"/>
                      <w:color w:val="auto"/>
                      <w:sz w:val="24"/>
                    </w:rPr>
                    <w:br w:type="textWrapping"/>
                  </w:r>
                  <w:r>
                    <w:rPr>
                      <w:rFonts w:ascii="Times New Roman" w:hAnsi="Times New Roman"/>
                      <w:color w:val="auto"/>
                      <w:sz w:val="24"/>
                    </w:rPr>
                    <w:t>H.</w:t>
                  </w:r>
                  <w:r>
                    <w:rPr>
                      <w:rFonts w:ascii="Times New Roman" w:hAnsi="Times New Roman"/>
                      <w:color w:val="auto"/>
                      <w:sz w:val="24"/>
                    </w:rPr>
                    <w:t xml:space="preserve"> </w:t>
                  </w:r>
                  <w:r>
                    <w:rPr>
                      <w:rFonts w:ascii="Times New Roman" w:hAnsi="Times New Roman"/>
                      <w:color w:val="auto"/>
                      <w:sz w:val="24"/>
                    </w:rPr>
                    <w:t>E. Adkins</w:t>
                  </w:r>
                  <w:r>
                    <w:rPr>
                      <w:rFonts w:ascii="Times New Roman" w:hAnsi="Times New Roman"/>
                      <w:color w:val="auto"/>
                      <w:sz w:val="24"/>
                    </w:rPr>
                    <w:t>,</w:t>
                  </w:r>
                  <w:r>
                    <w:rPr>
                      <w:rFonts w:ascii="Times New Roman" w:hAnsi="Times New Roman"/>
                      <w:color w:val="auto"/>
                      <w:sz w:val="24"/>
                    </w:rPr>
                    <w:t xml:space="preserve"> E.</w:t>
                  </w:r>
                  <w:r>
                    <w:rPr>
                      <w:rFonts w:ascii="Times New Roman" w:hAnsi="Times New Roman"/>
                      <w:color w:val="auto"/>
                      <w:sz w:val="24"/>
                    </w:rPr>
                    <w:t xml:space="preserve"> </w:t>
                  </w:r>
                  <w:r>
                    <w:rPr>
                      <w:rFonts w:ascii="Times New Roman" w:hAnsi="Times New Roman"/>
                      <w:color w:val="auto"/>
                      <w:sz w:val="24"/>
                    </w:rPr>
                    <w:t>R. Siciliano // Pacific Northwest National Laboratory - 2012. - 102 P.</w:t>
                  </w:r>
                </w:p>
              </w:tc>
            </w:tr>
            <w:tr>
              <w:trPr>
                <w:jc w:val="center"/>
              </w:trPr>
              <w:tc>
                <w:tcPr>
                  <w:tcW w:w="360" w:type="dxa"/>
                  <w:vAlign w:val="center"/>
                </w:tcPr>
                <w:p>
                  <w:pPr>
                    <w:jc w:val="center"/>
                    <w:rPr>
                      <w:rFonts w:ascii="Times New Roman" w:hAnsi="Times New Roman"/>
                      <w:color w:val="auto"/>
                      <w:sz w:val="24"/>
                    </w:rPr>
                  </w:pPr>
                  <w:r>
                    <w:rPr>
                      <w:rFonts w:ascii="Times New Roman" w:hAnsi="Times New Roman"/>
                      <w:color w:val="auto"/>
                      <w:sz w:val="24"/>
                    </w:rPr>
                    <w:t>4</w:t>
                  </w:r>
                </w:p>
              </w:tc>
              <w:tc>
                <w:tcPr>
                  <w:tcW w:w="8996" w:type="dxa"/>
                </w:tcPr>
                <w:p>
                  <w:pPr>
                    <w:jc w:val="both"/>
                    <w:rPr>
                      <w:rFonts w:ascii="Times New Roman" w:hAnsi="Times New Roman"/>
                      <w:color w:val="auto"/>
                      <w:sz w:val="24"/>
                    </w:rPr>
                  </w:pPr>
                  <w:r>
                    <w:rPr>
                      <w:rFonts w:ascii="Times New Roman" w:hAnsi="Times New Roman"/>
                      <w:color w:val="auto"/>
                      <w:sz w:val="24"/>
                    </w:rPr>
                    <w:t>Preliminary Thermal Modeling of HI-STORM 100 S- 218 Version В Storage Modules at Hope Creek Nuclear Power Station ISFSI / U.S. Department of Energy - 2013. - 59 P.</w:t>
                  </w:r>
                </w:p>
              </w:tc>
            </w:tr>
            <w:tr>
              <w:trPr>
                <w:jc w:val="center"/>
              </w:trPr>
              <w:tc>
                <w:tcPr>
                  <w:tcW w:w="360" w:type="dxa"/>
                  <w:vAlign w:val="center"/>
                </w:tcPr>
                <w:p>
                  <w:pPr>
                    <w:jc w:val="center"/>
                    <w:rPr>
                      <w:rFonts w:ascii="Times New Roman" w:hAnsi="Times New Roman"/>
                      <w:color w:val="auto"/>
                      <w:sz w:val="24"/>
                    </w:rPr>
                  </w:pPr>
                  <w:r>
                    <w:rPr>
                      <w:rFonts w:ascii="Times New Roman" w:hAnsi="Times New Roman"/>
                      <w:color w:val="auto"/>
                      <w:sz w:val="24"/>
                    </w:rPr>
                    <w:t>5</w:t>
                  </w:r>
                </w:p>
              </w:tc>
              <w:tc>
                <w:tcPr>
                  <w:tcW w:w="8996" w:type="dxa"/>
                </w:tcPr>
                <w:p>
                  <w:pPr>
                    <w:jc w:val="both"/>
                    <w:rPr>
                      <w:rFonts w:ascii="Times New Roman" w:hAnsi="Times New Roman"/>
                      <w:color w:val="auto"/>
                      <w:sz w:val="24"/>
                    </w:rPr>
                  </w:pPr>
                  <w:r>
                    <w:rPr>
                      <w:rFonts w:ascii="Times New Roman" w:hAnsi="Times New Roman"/>
                      <w:color w:val="auto"/>
                      <w:sz w:val="24"/>
                    </w:rPr>
                    <w:t>Alyokhina</w:t>
                  </w:r>
                  <w:r>
                    <w:rPr>
                      <w:rFonts w:ascii="Times New Roman" w:hAnsi="Times New Roman"/>
                      <w:color w:val="auto"/>
                      <w:sz w:val="24"/>
                    </w:rPr>
                    <w:t>,</w:t>
                  </w:r>
                  <w:r>
                    <w:rPr>
                      <w:rFonts w:ascii="Times New Roman" w:hAnsi="Times New Roman"/>
                      <w:color w:val="auto"/>
                      <w:sz w:val="24"/>
                    </w:rPr>
                    <w:t xml:space="preserve"> S. Equivalent thermal conductivity of the storage basket with spent nuclear fuel of VVER-1000 reactors / S. Alyokhina, A. Kostikov // Kemtechnik. - 2014. - Vol. 79, No. 6. - P. 484-487, DOI: 10.3139/124.110443</w:t>
                  </w:r>
                  <w:r>
                    <w:rPr>
                      <w:rFonts w:ascii="Times New Roman" w:hAnsi="Times New Roman"/>
                      <w:color w:val="auto"/>
                      <w:sz w:val="24"/>
                    </w:rPr>
                    <w:t>.</w:t>
                  </w:r>
                </w:p>
              </w:tc>
            </w:tr>
            <w:tr>
              <w:trPr>
                <w:jc w:val="center"/>
              </w:trPr>
              <w:tc>
                <w:tcPr>
                  <w:tcW w:w="360" w:type="dxa"/>
                  <w:vAlign w:val="center"/>
                </w:tcPr>
                <w:p>
                  <w:pPr>
                    <w:jc w:val="center"/>
                    <w:rPr>
                      <w:rFonts w:ascii="Times New Roman" w:hAnsi="Times New Roman"/>
                      <w:color w:val="auto"/>
                      <w:sz w:val="24"/>
                    </w:rPr>
                  </w:pPr>
                  <w:r>
                    <w:rPr>
                      <w:rFonts w:ascii="Times New Roman" w:hAnsi="Times New Roman"/>
                      <w:color w:val="auto"/>
                      <w:sz w:val="24"/>
                    </w:rPr>
                    <w:t>6</w:t>
                  </w:r>
                </w:p>
              </w:tc>
              <w:tc>
                <w:tcPr>
                  <w:tcW w:w="8996" w:type="dxa"/>
                </w:tcPr>
                <w:p>
                  <w:pPr>
                    <w:jc w:val="both"/>
                    <w:rPr>
                      <w:rFonts w:ascii="Times New Roman" w:hAnsi="Times New Roman"/>
                      <w:color w:val="auto"/>
                      <w:sz w:val="24"/>
                    </w:rPr>
                  </w:pPr>
                  <w:r>
                    <w:rPr>
                      <w:rFonts w:ascii="Times New Roman" w:hAnsi="Times New Roman"/>
                      <w:color w:val="auto"/>
                      <w:sz w:val="24"/>
                    </w:rPr>
                    <w:t>Walavalkar A. Y. З-D CFD Simulation of a ventilated concrete cask used for spent nuclear fuel storage / A. Y. Walavalkar, D. G. Schowalter // Proceedings of WM’04 Conference. February 29 - March 4. 2004, Tucson. P. 75-77</w:t>
                  </w:r>
                  <w:r>
                    <w:rPr>
                      <w:rFonts w:ascii="Times New Roman" w:hAnsi="Times New Roman"/>
                      <w:color w:val="auto"/>
                      <w:sz w:val="24"/>
                    </w:rPr>
                    <w:t>.</w:t>
                  </w:r>
                </w:p>
              </w:tc>
            </w:tr>
            <w:tr>
              <w:trPr>
                <w:jc w:val="center"/>
              </w:trPr>
              <w:tc>
                <w:tcPr>
                  <w:tcW w:w="360" w:type="dxa"/>
                  <w:vAlign w:val="center"/>
                </w:tcPr>
                <w:p>
                  <w:pPr>
                    <w:jc w:val="center"/>
                    <w:rPr>
                      <w:rFonts w:ascii="Times New Roman" w:hAnsi="Times New Roman"/>
                      <w:color w:val="auto"/>
                      <w:sz w:val="24"/>
                    </w:rPr>
                  </w:pPr>
                  <w:r>
                    <w:rPr>
                      <w:rFonts w:ascii="Times New Roman" w:hAnsi="Times New Roman"/>
                      <w:color w:val="auto"/>
                      <w:sz w:val="24"/>
                    </w:rPr>
                    <w:t>7</w:t>
                  </w:r>
                </w:p>
              </w:tc>
              <w:tc>
                <w:tcPr>
                  <w:tcW w:w="8996" w:type="dxa"/>
                </w:tcPr>
                <w:p>
                  <w:pPr>
                    <w:jc w:val="both"/>
                    <w:rPr>
                      <w:rFonts w:ascii="Times New Roman" w:hAnsi="Times New Roman"/>
                      <w:color w:val="auto"/>
                      <w:sz w:val="24"/>
                    </w:rPr>
                  </w:pPr>
                  <w:r>
                    <w:rPr>
                      <w:rFonts w:ascii="Times New Roman" w:hAnsi="Times New Roman"/>
                      <w:color w:val="auto"/>
                      <w:sz w:val="24"/>
                    </w:rPr>
                    <w:t>Alyokhina. S. Simulation of thermal state of containers with spent nuclear fuel: multistage approach / S. Alyokhina</w:t>
                  </w:r>
                  <w:r>
                    <w:rPr>
                      <w:rFonts w:ascii="Times New Roman" w:hAnsi="Times New Roman"/>
                      <w:color w:val="auto"/>
                      <w:sz w:val="24"/>
                    </w:rPr>
                    <w:t>,</w:t>
                  </w:r>
                  <w:r>
                    <w:rPr>
                      <w:rFonts w:ascii="Times New Roman" w:hAnsi="Times New Roman"/>
                      <w:color w:val="auto"/>
                      <w:sz w:val="24"/>
                    </w:rPr>
                    <w:t xml:space="preserve"> V. Goloshchapov, A. Kostikov, Yu. Matsevity // International Journal of Energy Research. - 2015. - V. 39. - №. 14. - P. 1917-1924. DOI: I0. l002/er.3387</w:t>
                  </w:r>
                </w:p>
              </w:tc>
            </w:tr>
            <w:tr>
              <w:trPr>
                <w:jc w:val="center"/>
              </w:trPr>
              <w:tc>
                <w:tcPr>
                  <w:tcW w:w="360" w:type="dxa"/>
                  <w:vAlign w:val="center"/>
                </w:tcPr>
                <w:p>
                  <w:pPr>
                    <w:jc w:val="center"/>
                    <w:rPr>
                      <w:rFonts w:ascii="Times New Roman" w:hAnsi="Times New Roman"/>
                      <w:color w:val="auto"/>
                      <w:sz w:val="24"/>
                    </w:rPr>
                  </w:pPr>
                  <w:r>
                    <w:rPr>
                      <w:rFonts w:ascii="Times New Roman" w:hAnsi="Times New Roman"/>
                      <w:color w:val="auto"/>
                      <w:sz w:val="24"/>
                    </w:rPr>
                    <w:t>8</w:t>
                  </w:r>
                </w:p>
              </w:tc>
              <w:tc>
                <w:tcPr>
                  <w:tcW w:w="8996" w:type="dxa"/>
                </w:tcPr>
                <w:p>
                  <w:pPr>
                    <w:jc w:val="both"/>
                    <w:rPr>
                      <w:rFonts w:ascii="Times New Roman" w:hAnsi="Times New Roman"/>
                      <w:color w:val="auto"/>
                      <w:sz w:val="24"/>
                    </w:rPr>
                  </w:pPr>
                  <w:r>
                    <w:rPr>
                      <w:rFonts w:ascii="Times New Roman" w:hAnsi="Times New Roman"/>
                      <w:color w:val="auto"/>
                      <w:sz w:val="24"/>
                    </w:rPr>
                    <w:t xml:space="preserve">Рудычев. В. Г. Безопасность сухого хранения отработавшего ядерного топлива / </w:t>
                  </w:r>
                  <w:r>
                    <w:rPr>
                      <w:rFonts w:ascii="Times New Roman" w:hAnsi="Times New Roman"/>
                      <w:color w:val="auto"/>
                      <w:sz w:val="24"/>
                    </w:rPr>
                    <w:br w:type="textWrapping"/>
                  </w:r>
                  <w:r>
                    <w:rPr>
                      <w:rFonts w:ascii="Times New Roman" w:hAnsi="Times New Roman"/>
                      <w:color w:val="auto"/>
                      <w:sz w:val="24"/>
                    </w:rPr>
                    <w:t xml:space="preserve">В. Г. Рудычев. С. В. Алёхина. В. Н. Голощапов и др., Под общ. ред. акад. НАН Украины Ю. М. Мацевитого. </w:t>
                  </w:r>
                </w:p>
              </w:tc>
            </w:tr>
            <w:tr>
              <w:trPr>
                <w:jc w:val="center"/>
              </w:trPr>
              <w:tc>
                <w:tcPr>
                  <w:tcW w:w="360" w:type="dxa"/>
                  <w:vAlign w:val="center"/>
                </w:tcPr>
                <w:p>
                  <w:pPr>
                    <w:jc w:val="center"/>
                    <w:rPr>
                      <w:rFonts w:ascii="Times New Roman" w:hAnsi="Times New Roman"/>
                      <w:color w:val="auto"/>
                      <w:sz w:val="24"/>
                    </w:rPr>
                  </w:pPr>
                  <w:r>
                    <w:rPr>
                      <w:rFonts w:ascii="Times New Roman" w:hAnsi="Times New Roman"/>
                      <w:color w:val="auto"/>
                      <w:sz w:val="24"/>
                    </w:rPr>
                    <w:t>9</w:t>
                  </w:r>
                </w:p>
              </w:tc>
              <w:tc>
                <w:tcPr>
                  <w:tcW w:w="8996" w:type="dxa"/>
                </w:tcPr>
                <w:p>
                  <w:pPr>
                    <w:jc w:val="both"/>
                    <w:rPr>
                      <w:rFonts w:ascii="Times New Roman" w:hAnsi="Times New Roman"/>
                      <w:color w:val="auto"/>
                      <w:sz w:val="24"/>
                    </w:rPr>
                  </w:pPr>
                  <w:r>
                    <w:rPr>
                      <w:rFonts w:ascii="Times New Roman" w:hAnsi="Times New Roman"/>
                      <w:color w:val="auto"/>
                      <w:sz w:val="24"/>
                    </w:rPr>
                    <w:t>Bergel’son. В. R. Residual energy release and actinide and fission product radiotoxicities during longterm storage of high burnup spent VVER fuel / B. R. Bergel’son. A. S. Gerasimov, T. S. Zaritskaya. G. V. TikhomirovT // Atomic Energy. - 2005. - V. 102. - № 5 - pp 364-368. DOI: 10.1007/s 10512-007-0057-4</w:t>
                  </w:r>
                </w:p>
              </w:tc>
            </w:tr>
          </w:tbl>
          <w:p>
            <w:pPr>
              <w:rPr>
                <w:rFonts w:ascii="Times New Roman" w:hAnsi="Times New Roman"/>
                <w:color w:val="auto"/>
                <w:sz w:val="24"/>
              </w:rPr>
            </w:pPr>
          </w:p>
        </w:tc>
      </w:tr>
    </w:tbl>
    <w:p>
      <w:pPr>
        <w:rPr>
          <w:rFonts w:ascii="Times New Roman" w:hAnsi="Times New Roman"/>
          <w:b w:val="1"/>
          <w:color w:val="auto"/>
          <w:sz w:val="24"/>
        </w:rPr>
      </w:pPr>
      <w:bookmarkStart w:id="2" w:name="_GoBack"/>
      <w:bookmarkEnd w:id="2"/>
    </w:p>
    <w:p>
      <w:pPr>
        <w:rPr>
          <w:rFonts w:ascii="Times New Roman" w:hAnsi="Times New Roman"/>
          <w:b w:val="1"/>
          <w:color w:val="auto"/>
          <w:sz w:val="28"/>
        </w:rPr>
      </w:pPr>
    </w:p>
    <w:p>
      <w:pPr>
        <w:rPr>
          <w:rFonts w:ascii="Times New Roman" w:hAnsi="Times New Roman"/>
          <w:b w:val="1"/>
          <w:color w:val="auto"/>
          <w:sz w:val="28"/>
        </w:rPr>
      </w:pPr>
    </w:p>
    <w:p>
      <w:pPr>
        <w:rPr>
          <w:rFonts w:ascii="Times New Roman" w:hAnsi="Times New Roman"/>
          <w:b w:val="1"/>
          <w:color w:val="auto"/>
          <w:sz w:val="28"/>
        </w:rPr>
      </w:pPr>
    </w:p>
    <w:sectPr>
      <w:headerReference xmlns:r="http://schemas.openxmlformats.org/officeDocument/2006/relationships" w:type="default" r:id="RelHdr1"/>
      <w:footerReference xmlns:r="http://schemas.openxmlformats.org/officeDocument/2006/relationships" w:type="default" r:id="RelFtr1"/>
      <w:type w:val="nextPage"/>
      <w:pgSz w:w="11906" w:h="16838" w:code="9"/>
      <w:pgMar w:left="1418" w:right="851" w:top="1134" w:bottom="1134" w:header="709" w:footer="709"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pPr>
    <w:r>
      <w:fldChar w:fldCharType="begin"/>
    </w:r>
    <w:r>
      <w:instrText xml:space="preserve"> PAGE </w:instrText>
    </w:r>
    <w:r>
      <w:fldChar w:fldCharType="separate"/>
    </w:r>
    <w:r>
      <w:t>#</w:t>
    </w:r>
    <w:r>
      <w:fldChar w:fldCharType="end"/>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tabs>
        <w:tab w:val="left" w:pos="690" w:leader="none"/>
        <w:tab w:val="center" w:pos="4677" w:leader="none"/>
        <w:tab w:val="right" w:pos="9355" w:leader="none"/>
      </w:tabs>
      <w:spacing w:lineRule="auto" w:line="240" w:after="0"/>
      <w:jc w:val="center"/>
      <w:rPr>
        <w:rFonts w:ascii="Times New Roman" w:hAnsi="Times New Roman"/>
      </w:rPr>
    </w:pPr>
    <w:r>
      <w:rPr>
        <w:rFonts w:ascii="Times New Roman" w:hAnsi="Times New Roman"/>
      </w:rPr>
      <w:t>Тези доповідей 57-ої конференції молодих дослідників «Сучасні інформаційні технології та телекомунікаційні мережі» //</w:t>
    </w:r>
    <w:r>
      <w:rPr>
        <w:rFonts w:ascii="Times New Roman" w:hAnsi="Times New Roman"/>
      </w:rPr>
      <w:t xml:space="preserve"> </w:t>
    </w:r>
    <w:r>
      <w:rPr>
        <w:rFonts w:ascii="Times New Roman" w:hAnsi="Times New Roman"/>
      </w:rPr>
      <w:t>Одеса: НУОП, 2022, вип. 57</w:t>
    </w:r>
  </w:p>
  <w:p/>
</w:hdr>
</file>

<file path=word/numbering.xml><?xml version="1.0" encoding="utf-8"?>
<w:numbering xmlns:w="http://schemas.openxmlformats.org/wordprocessingml/2006/main">
  <w:abstractNum w:abstractNumId="0">
    <w:nsid w:val="099421A2"/>
    <w:multiLevelType w:val="hybridMultilevel"/>
    <w:lvl w:ilvl="0" w:tplc="634E1630">
      <w:start w:val="1"/>
      <w:numFmt w:val="decimal"/>
      <w:suff w:val="tab"/>
      <w:lvlText w:val="%1-"/>
      <w:lvlJc w:val="left"/>
      <w:pPr>
        <w:ind w:hanging="360" w:left="720"/>
      </w:pPr>
      <w:rPr>
        <w:rFonts w:ascii="Times New Roman" w:hAnsi="Times New Roman"/>
        <w:sz w:val="16"/>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1">
    <w:nsid w:val="263B6F43"/>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2">
    <w:nsid w:val="39122BBE"/>
    <w:multiLevelType w:val="multilevel"/>
    <w:lvl w:ilvl="0">
      <w:start w:val="1"/>
      <w:numFmt w:val="decimal"/>
      <w:suff w:val="tab"/>
      <w:lvlText w:val="%1."/>
      <w:lvlJc w:val="left"/>
      <w:pPr/>
      <w:rPr>
        <w:rFonts w:ascii="Times New Roman" w:hAnsi="Times New Roman"/>
        <w:b w:val="0"/>
        <w:i w:val="0"/>
        <w:strike w:val="0"/>
        <w:color w:val="000000"/>
        <w:sz w:val="22"/>
        <w:u w:val="none"/>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3">
    <w:nsid w:val="41F63BF8"/>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4">
    <w:nsid w:val="466A101F"/>
    <w:multiLevelType w:val="hybridMultilevel"/>
    <w:lvl w:ilvl="0">
      <w:start w:val="1"/>
      <w:numFmt w:val="bullet"/>
      <w:suff w:val="tab"/>
      <w:lvlText w:val="-"/>
      <w:lvlJc w:val="left"/>
      <w:pPr/>
      <w:rPr>
        <w:rFonts w:ascii="Arial" w:hAnsi="Arial"/>
        <w:b w:val="0"/>
        <w:i w:val="0"/>
        <w:strike w:val="0"/>
        <w:color w:val="000000"/>
        <w:sz w:val="16"/>
        <w:u w:val="none"/>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5">
    <w:nsid w:val="6C8622A3"/>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6">
    <w:nsid w:val="735301A5"/>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widowControl w:val="0"/>
      <w:spacing w:lineRule="auto" w:line="240" w:after="0" w:beforeAutospacing="0" w:afterAutospacing="0"/>
    </w:pPr>
    <w:rPr>
      <w:rFonts w:ascii="Arial Unicode MS" w:hAnsi="Arial Unicode MS"/>
      <w:color w:val="000000"/>
      <w:sz w:val="24"/>
    </w:rPr>
  </w:style>
  <w:style w:type="paragraph" w:styleId="P1">
    <w:name w:val="Основной текст1"/>
    <w:basedOn w:val="P0"/>
    <w:link w:val="C3"/>
    <w:pPr>
      <w:shd w:val="clear" w:fill="FFFFFF"/>
      <w:ind w:firstLine="400"/>
    </w:pPr>
    <w:rPr>
      <w:rFonts w:ascii="Times New Roman" w:hAnsi="Times New Roman"/>
      <w:color w:val="auto"/>
      <w:sz w:val="22"/>
    </w:rPr>
  </w:style>
  <w:style w:type="paragraph" w:styleId="P2">
    <w:name w:val="Подпись к таблице"/>
    <w:basedOn w:val="P0"/>
    <w:link w:val="C4"/>
    <w:pPr>
      <w:shd w:val="clear" w:fill="FFFFFF"/>
    </w:pPr>
    <w:rPr>
      <w:rFonts w:ascii="Arial" w:hAnsi="Arial"/>
      <w:color w:val="2C4C82"/>
      <w:sz w:val="16"/>
    </w:rPr>
  </w:style>
  <w:style w:type="paragraph" w:styleId="P3">
    <w:name w:val="Другое"/>
    <w:basedOn w:val="P0"/>
    <w:link w:val="C5"/>
    <w:pPr>
      <w:shd w:val="clear" w:fill="FFFFFF"/>
      <w:ind w:firstLine="400"/>
    </w:pPr>
    <w:rPr>
      <w:rFonts w:ascii="Times New Roman" w:hAnsi="Times New Roman"/>
      <w:color w:val="auto"/>
      <w:sz w:val="22"/>
    </w:rPr>
  </w:style>
  <w:style w:type="paragraph" w:styleId="P4">
    <w:name w:val="Основной текст (2)"/>
    <w:basedOn w:val="P0"/>
    <w:link w:val="C6"/>
    <w:pPr>
      <w:shd w:val="clear" w:fill="FFFFFF"/>
      <w:spacing w:lineRule="auto" w:line="233" w:beforeAutospacing="0" w:afterAutospacing="0"/>
      <w:ind w:firstLine="20" w:left="340"/>
    </w:pPr>
    <w:rPr>
      <w:rFonts w:ascii="Times New Roman" w:hAnsi="Times New Roman"/>
      <w:color w:val="auto"/>
      <w:sz w:val="20"/>
    </w:rPr>
  </w:style>
  <w:style w:type="paragraph" w:styleId="P5">
    <w:name w:val="List Paragraph"/>
    <w:basedOn w:val="P0"/>
    <w:qFormat/>
    <w:pPr>
      <w:ind w:left="720"/>
      <w:contextualSpacing w:val="1"/>
    </w:pPr>
    <w:rPr/>
  </w:style>
  <w:style w:type="paragraph" w:styleId="P6">
    <w:name w:val="Основной текст (4)"/>
    <w:basedOn w:val="P0"/>
    <w:link w:val="C7"/>
    <w:pPr>
      <w:shd w:val="clear" w:fill="FFFFFF"/>
      <w:jc w:val="center"/>
    </w:pPr>
    <w:rPr>
      <w:rFonts w:ascii="Times New Roman" w:hAnsi="Times New Roman"/>
      <w:b w:val="1"/>
      <w:color w:val="auto"/>
      <w:sz w:val="22"/>
    </w:rPr>
  </w:style>
  <w:style w:type="paragraph" w:styleId="P7">
    <w:name w:val="Заголовок №1"/>
    <w:basedOn w:val="P0"/>
    <w:link w:val="C8"/>
    <w:pPr>
      <w:shd w:val="clear" w:fill="FFFFFF"/>
      <w:spacing w:lineRule="auto" w:line="257" w:beforeAutospacing="0" w:afterAutospacing="0"/>
      <w:jc w:val="center"/>
      <w:outlineLvl w:val="0"/>
    </w:pPr>
    <w:rPr>
      <w:rFonts w:ascii="Times New Roman" w:hAnsi="Times New Roman"/>
      <w:b w:val="1"/>
      <w:color w:val="auto"/>
      <w:sz w:val="22"/>
    </w:rPr>
  </w:style>
  <w:style w:type="paragraph" w:styleId="P8">
    <w:name w:val="Заголовок №2"/>
    <w:basedOn w:val="P0"/>
    <w:link w:val="C9"/>
    <w:pPr>
      <w:shd w:val="clear" w:fill="FFFFFF"/>
      <w:spacing w:lineRule="auto" w:line="247" w:beforeAutospacing="0" w:afterAutospacing="0"/>
      <w:outlineLvl w:val="1"/>
    </w:pPr>
    <w:rPr>
      <w:rFonts w:ascii="Times New Roman" w:hAnsi="Times New Roman"/>
      <w:b w:val="1"/>
      <w:color w:val="auto"/>
      <w:sz w:val="17"/>
    </w:rPr>
  </w:style>
  <w:style w:type="paragraph" w:styleId="P9">
    <w:name w:val="Основной текст (5)"/>
    <w:basedOn w:val="P0"/>
    <w:link w:val="C10"/>
    <w:pPr>
      <w:shd w:val="clear" w:fill="FFFFFF"/>
      <w:ind w:firstLine="380"/>
    </w:pPr>
    <w:rPr>
      <w:rFonts w:ascii="Times New Roman" w:hAnsi="Times New Roman"/>
      <w:i w:val="1"/>
      <w:color w:val="604745"/>
      <w:sz w:val="17"/>
    </w:rPr>
  </w:style>
  <w:style w:type="paragraph" w:styleId="P10">
    <w:name w:val="Колонтитул"/>
    <w:basedOn w:val="P0"/>
    <w:link w:val="C11"/>
    <w:pPr>
      <w:shd w:val="clear" w:fill="FFFFFF"/>
    </w:pPr>
    <w:rPr>
      <w:rFonts w:ascii="Times New Roman" w:hAnsi="Times New Roman"/>
      <w:b w:val="1"/>
      <w:color w:val="auto"/>
      <w:sz w:val="17"/>
    </w:rPr>
  </w:style>
  <w:style w:type="paragraph" w:styleId="P11">
    <w:name w:val="Подпись к картинке"/>
    <w:basedOn w:val="P0"/>
    <w:link w:val="C12"/>
    <w:pPr>
      <w:shd w:val="clear" w:fill="FFFFFF"/>
      <w:spacing w:lineRule="auto" w:line="266" w:beforeAutospacing="0" w:afterAutospacing="0"/>
    </w:pPr>
    <w:rPr>
      <w:rFonts w:ascii="Arial" w:hAnsi="Arial"/>
      <w:color w:val="auto"/>
      <w:sz w:val="16"/>
    </w:rPr>
  </w:style>
  <w:style w:type="paragraph" w:styleId="P12">
    <w:name w:val="Колонтитул (2)"/>
    <w:basedOn w:val="P0"/>
    <w:link w:val="C13"/>
    <w:pPr>
      <w:shd w:val="clear" w:fill="FFFFFF"/>
    </w:pPr>
    <w:rPr>
      <w:rFonts w:ascii="Times New Roman" w:hAnsi="Times New Roman"/>
      <w:color w:val="auto"/>
      <w:sz w:val="20"/>
    </w:rPr>
  </w:style>
  <w:style w:type="paragraph" w:styleId="P13">
    <w:name w:val="Normal (Web)"/>
    <w:basedOn w:val="P0"/>
    <w:semiHidden/>
    <w:pPr>
      <w:widowControl w:val="1"/>
      <w:spacing w:before="100" w:after="100" w:beforeAutospacing="1" w:afterAutospacing="1"/>
    </w:pPr>
    <w:rPr>
      <w:rFonts w:ascii="Times New Roman" w:hAnsi="Times New Roman"/>
      <w:color w:val="auto"/>
    </w:rPr>
  </w:style>
  <w:style w:type="paragraph" w:styleId="P14">
    <w:name w:val="annotation text"/>
    <w:basedOn w:val="P0"/>
    <w:link w:val="C16"/>
    <w:semiHidden/>
    <w:pPr/>
    <w:rPr>
      <w:sz w:val="20"/>
    </w:rPr>
  </w:style>
  <w:style w:type="paragraph" w:styleId="P15">
    <w:name w:val="annotation subject"/>
    <w:basedOn w:val="P14"/>
    <w:next w:val="P14"/>
    <w:link w:val="C17"/>
    <w:semiHidden/>
    <w:pPr/>
    <w:rPr>
      <w:b w:val="1"/>
    </w:rPr>
  </w:style>
  <w:style w:type="paragraph" w:styleId="P16">
    <w:name w:val="Balloon Text"/>
    <w:basedOn w:val="P0"/>
    <w:link w:val="C18"/>
    <w:semiHidden/>
    <w:pPr/>
    <w:rPr>
      <w:rFonts w:ascii="Segoe UI" w:hAnsi="Segoe UI"/>
      <w:sz w:val="18"/>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563C1"/>
      <w:u w:val="single"/>
    </w:rPr>
  </w:style>
  <w:style w:type="character" w:styleId="C3">
    <w:name w:val="Основной текст_"/>
    <w:basedOn w:val="C0"/>
    <w:link w:val="P1"/>
    <w:rPr>
      <w:rFonts w:ascii="Times New Roman" w:hAnsi="Times New Roman"/>
      <w:color w:val="auto"/>
      <w:sz w:val="22"/>
    </w:rPr>
  </w:style>
  <w:style w:type="character" w:styleId="C4">
    <w:name w:val="Подпись к таблице_"/>
    <w:basedOn w:val="C0"/>
    <w:link w:val="P2"/>
    <w:rPr>
      <w:rFonts w:ascii="Arial" w:hAnsi="Arial"/>
      <w:color w:val="2C4C82"/>
      <w:sz w:val="16"/>
    </w:rPr>
  </w:style>
  <w:style w:type="character" w:styleId="C5">
    <w:name w:val="Другое_"/>
    <w:basedOn w:val="C0"/>
    <w:link w:val="P3"/>
    <w:rPr>
      <w:rFonts w:ascii="Times New Roman" w:hAnsi="Times New Roman"/>
      <w:color w:val="auto"/>
      <w:sz w:val="22"/>
    </w:rPr>
  </w:style>
  <w:style w:type="character" w:styleId="C6">
    <w:name w:val="Основной текст (2)_"/>
    <w:basedOn w:val="C0"/>
    <w:link w:val="P4"/>
    <w:rPr>
      <w:rFonts w:ascii="Times New Roman" w:hAnsi="Times New Roman"/>
      <w:color w:val="auto"/>
      <w:sz w:val="20"/>
    </w:rPr>
  </w:style>
  <w:style w:type="character" w:styleId="C7">
    <w:name w:val="Основной текст (4)_"/>
    <w:basedOn w:val="C0"/>
    <w:link w:val="P6"/>
    <w:rPr>
      <w:rFonts w:ascii="Times New Roman" w:hAnsi="Times New Roman"/>
      <w:b w:val="1"/>
      <w:color w:val="auto"/>
      <w:sz w:val="22"/>
    </w:rPr>
  </w:style>
  <w:style w:type="character" w:styleId="C8">
    <w:name w:val="Заголовок №1_"/>
    <w:basedOn w:val="C0"/>
    <w:link w:val="P7"/>
    <w:rPr>
      <w:rFonts w:ascii="Times New Roman" w:hAnsi="Times New Roman"/>
      <w:b w:val="1"/>
      <w:color w:val="auto"/>
      <w:sz w:val="22"/>
    </w:rPr>
  </w:style>
  <w:style w:type="character" w:styleId="C9">
    <w:name w:val="Заголовок №2_"/>
    <w:basedOn w:val="C0"/>
    <w:link w:val="P8"/>
    <w:rPr>
      <w:rFonts w:ascii="Times New Roman" w:hAnsi="Times New Roman"/>
      <w:b w:val="1"/>
      <w:color w:val="auto"/>
      <w:sz w:val="17"/>
    </w:rPr>
  </w:style>
  <w:style w:type="character" w:styleId="C10">
    <w:name w:val="Основной текст (5)_"/>
    <w:basedOn w:val="C0"/>
    <w:link w:val="P9"/>
    <w:rPr>
      <w:rFonts w:ascii="Times New Roman" w:hAnsi="Times New Roman"/>
      <w:i w:val="1"/>
      <w:color w:val="604745"/>
      <w:sz w:val="17"/>
    </w:rPr>
  </w:style>
  <w:style w:type="character" w:styleId="C11">
    <w:name w:val="Колонтитул_"/>
    <w:basedOn w:val="C0"/>
    <w:link w:val="P10"/>
    <w:rPr>
      <w:rFonts w:ascii="Times New Roman" w:hAnsi="Times New Roman"/>
      <w:b w:val="1"/>
      <w:color w:val="auto"/>
      <w:sz w:val="17"/>
    </w:rPr>
  </w:style>
  <w:style w:type="character" w:styleId="C12">
    <w:name w:val="Подпись к картинке_"/>
    <w:basedOn w:val="C0"/>
    <w:link w:val="P11"/>
    <w:rPr>
      <w:rFonts w:ascii="Arial" w:hAnsi="Arial"/>
      <w:color w:val="auto"/>
      <w:sz w:val="16"/>
    </w:rPr>
  </w:style>
  <w:style w:type="character" w:styleId="C13">
    <w:name w:val="Колонтитул (2)_"/>
    <w:basedOn w:val="C0"/>
    <w:link w:val="P12"/>
    <w:rPr>
      <w:rFonts w:ascii="Times New Roman" w:hAnsi="Times New Roman"/>
      <w:color w:val="auto"/>
      <w:sz w:val="20"/>
    </w:rPr>
  </w:style>
  <w:style w:type="character" w:styleId="C14">
    <w:name w:val="mwe-math-mathml-inline"/>
    <w:basedOn w:val="C0"/>
    <w:rPr/>
  </w:style>
  <w:style w:type="character" w:styleId="C15">
    <w:name w:val="annotation reference"/>
    <w:basedOn w:val="C0"/>
    <w:semiHidden/>
    <w:rPr>
      <w:sz w:val="16"/>
    </w:rPr>
  </w:style>
  <w:style w:type="character" w:styleId="C16">
    <w:name w:val="Текст примечания Знак"/>
    <w:basedOn w:val="C0"/>
    <w:link w:val="P14"/>
    <w:semiHidden/>
    <w:rPr>
      <w:sz w:val="20"/>
    </w:rPr>
  </w:style>
  <w:style w:type="character" w:styleId="C17">
    <w:name w:val="Тема примечания Знак"/>
    <w:basedOn w:val="C16"/>
    <w:link w:val="P15"/>
    <w:semiHidden/>
    <w:rPr>
      <w:b w:val="1"/>
    </w:rPr>
  </w:style>
  <w:style w:type="character" w:styleId="C18">
    <w:name w:val="Текст выноски Знак"/>
    <w:basedOn w:val="C0"/>
    <w:link w:val="P16"/>
    <w:semiHidden/>
    <w:rPr>
      <w:rFonts w:ascii="Segoe UI" w:hAnsi="Segoe UI"/>
      <w:sz w:val="18"/>
    </w:rPr>
  </w:style>
  <w:style w:type="character" w:styleId="C19">
    <w:name w:val="xfmc1"/>
    <w:basedOn w:val="C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widowControl w:val="0"/>
      <w:spacing w:lineRule="auto" w:line="240" w:after="0" w:beforeAutospacing="0" w:afterAutospacing="0"/>
    </w:pPr>
    <w:rPr>
      <w:rFonts w:ascii="Arial Unicode MS" w:hAnsi="Arial Unicode MS"/>
      <w:sz w:val="24"/>
    </w:r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numbering" w:styleId="N0">
    <w:name w:val="No List"/>
  </w:style>
</w:styles>
</file>

<file path=word/_rels/document.xml.rels><?xml version="1.0" encoding="utf-8"?><Relationships xmlns="http://schemas.openxmlformats.org/package/2006/relationships"><Relationship Id="Relimage6" Type="http://schemas.openxmlformats.org/officeDocument/2006/relationships/image" Target="/media/image6.wmf" /><Relationship Id="Relimage7" Type="http://schemas.openxmlformats.org/officeDocument/2006/relationships/image" Target="/media/image7.wmf" /><Relationship Id="Relimage3" Type="http://schemas.openxmlformats.org/officeDocument/2006/relationships/image" Target="/media/image3.png" /><Relationship Id="Relimage2" Type="http://schemas.openxmlformats.org/officeDocument/2006/relationships/image" Target="/media/image2.png" /><Relationship Id="Relimage4" Type="http://schemas.openxmlformats.org/officeDocument/2006/relationships/image" Target="/media/image4.wmf" /><Relationship Id="Relimage1" Type="http://schemas.openxmlformats.org/officeDocument/2006/relationships/image" Target="/media/image1.png" /><Relationship Id="Relimage8" Type="http://schemas.openxmlformats.org/officeDocument/2006/relationships/image" Target="/media/image8.wmf" /><Relationship Id="Relimage9" Type="http://schemas.openxmlformats.org/officeDocument/2006/relationships/image" Target="/media/image9.png" /><Relationship Id="Relimage10" Type="http://schemas.openxmlformats.org/officeDocument/2006/relationships/image" Target="/media/image10.png" /><Relationship Id="Relimage5" Type="http://schemas.openxmlformats.org/officeDocument/2006/relationships/image" Target="/media/image5.wmf" /><Relationship Id="Relimage11" Type="http://schemas.openxmlformats.org/officeDocument/2006/relationships/image" Target="/media/image11.png" /><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