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Міністерство освіти і науки України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Національний університет «Одеська політехніка»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МЕТОДИЧНІ РЕКОМЕНДАЦІЇ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 написання курсових робіт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 здобувачів предметної спеціальності 014.11 Середня освіта «Фізична культура», очної і заочної форми навчання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Одеса: Одеська політехніка, 2022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Міністерство освіти і науки України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Національний університет «Одеська політехніка»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МЕТОДИЧНІ РЕКОМЕНДАЦІЇ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 написання курсових робіт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 здобувачів предметної спеціальності 014.11 Середня освіта «Фізична культура», очної і заочної форми навчання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ЗАТВЕРДЖЕНО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на засіданні кафедри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фізичного виховання та спорту.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Пр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отокол № 1 від 29 серпня 2022 р.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Одеса: Одеська політехніка, 2022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Методичні рекомендації до написання курсових робіт для здобувачів предметної спеціальності 014.11 Середня освіта «Фізична культура», очної і заочної форми навчання / Уклад.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Бєсєда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Одеса: Одеська політехніка, 2022. – 21 с.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Укладачі: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пед. наук, доцент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Бєсєда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пед. наук, доцент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Зміст</w:t>
      </w:r>
    </w:p>
    <w:sdt>
      <w:sdtPr>
        <w:id w:val="-170643357"/>
        <w:docPartObj>
          <w:docPartGallery w:val="Table of Contents"/>
          <w:docPartUnique/>
        </w:docPartObj>
      </w:sdtPr>
      <w:sdtEndPr/>
      <w:sdtContent>
        <w:p w:rsidR="009161E7" w:rsidRDefault="00581D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tabs>
              <w:tab w:val="right" w:pos="10195"/>
              <w:tab w:val="left" w:pos="44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44sinio">
            <w:r>
              <w:rPr>
                <w:rFonts w:ascii="Times New Roman" w:eastAsia="Times New Roman" w:hAnsi="Times New Roman" w:cs="Times New Roman"/>
                <w:color w:val="000080"/>
                <w:sz w:val="22"/>
                <w:szCs w:val="22"/>
                <w:u w:val="single"/>
              </w:rPr>
              <w:t>1.</w:t>
            </w:r>
          </w:hyperlink>
          <w:r w:rsidR="0071064F">
            <w:t xml:space="preserve"> </w:t>
          </w:r>
          <w:r>
            <w:fldChar w:fldCharType="begin"/>
          </w:r>
          <w:r>
            <w:instrText xml:space="preserve"> PAGEREF _44sinio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80"/>
              <w:sz w:val="22"/>
              <w:szCs w:val="22"/>
              <w:u w:val="single"/>
            </w:rPr>
            <w:t>Написання та оформлення курсової роботи</w:t>
          </w:r>
          <w:r w:rsidR="0071064F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9161E7" w:rsidRDefault="00581D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tabs>
              <w:tab w:val="right" w:pos="10195"/>
              <w:tab w:val="left" w:pos="6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et92p0">
            <w:r>
              <w:rPr>
                <w:rFonts w:ascii="Times New Roman" w:eastAsia="Times New Roman" w:hAnsi="Times New Roman" w:cs="Times New Roman"/>
                <w:color w:val="000080"/>
                <w:sz w:val="22"/>
                <w:szCs w:val="22"/>
                <w:u w:val="single"/>
              </w:rPr>
              <w:t>1.1.</w:t>
            </w:r>
          </w:hyperlink>
          <w:r w:rsidR="0071064F">
            <w:t xml:space="preserve"> </w:t>
          </w:r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80"/>
              <w:sz w:val="22"/>
              <w:szCs w:val="22"/>
              <w:u w:val="single"/>
            </w:rPr>
            <w:t>Вимоги до змісту та структури курсової роботи</w:t>
          </w:r>
          <w:r w:rsidR="0071064F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9161E7" w:rsidRDefault="00581D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tabs>
              <w:tab w:val="right" w:pos="9345"/>
            </w:tabs>
            <w:jc w:val="both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jxsxqh">
            <w:r>
              <w:rPr>
                <w:rFonts w:ascii="Times New Roman" w:eastAsia="Times New Roman" w:hAnsi="Times New Roman" w:cs="Times New Roman"/>
                <w:color w:val="000080"/>
                <w:sz w:val="22"/>
                <w:szCs w:val="22"/>
                <w:u w:val="single"/>
              </w:rPr>
              <w:t>2. Правила оформлення курсової роботи</w:t>
            </w:r>
          </w:hyperlink>
          <w:hyperlink w:anchor="_2jxsxqh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5</w:t>
            </w:r>
          </w:hyperlink>
        </w:p>
        <w:p w:rsidR="009161E7" w:rsidRDefault="00581D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tabs>
              <w:tab w:val="right" w:pos="10195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t3h5sf">
            <w:r>
              <w:rPr>
                <w:rFonts w:ascii="Times New Roman" w:eastAsia="Times New Roman" w:hAnsi="Times New Roman" w:cs="Times New Roman"/>
                <w:color w:val="000080"/>
                <w:sz w:val="22"/>
                <w:szCs w:val="22"/>
                <w:u w:val="single"/>
              </w:rPr>
              <w:t>3. Технічне оформлення курсової роботи</w:t>
            </w:r>
          </w:hyperlink>
          <w:hyperlink w:anchor="_1t3h5sf">
            <w:r w:rsidR="007106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hyperlink>
        </w:p>
        <w:p w:rsidR="009161E7" w:rsidRDefault="00581D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tabs>
              <w:tab w:val="right" w:pos="9345"/>
            </w:tabs>
            <w:jc w:val="both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s8eyo1">
            <w:r>
              <w:rPr>
                <w:rFonts w:ascii="Times New Roman" w:eastAsia="Times New Roman" w:hAnsi="Times New Roman" w:cs="Times New Roman"/>
                <w:color w:val="000080"/>
                <w:sz w:val="22"/>
                <w:szCs w:val="22"/>
                <w:u w:val="single"/>
              </w:rPr>
              <w:t>4. Організаційно-методичні вказівки до захисту та оцінювання курсової роботи</w:t>
            </w:r>
          </w:hyperlink>
          <w:hyperlink w:anchor="_2s8eyo1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10</w:t>
            </w:r>
          </w:hyperlink>
        </w:p>
        <w:p w:rsidR="009161E7" w:rsidRDefault="00581D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tabs>
              <w:tab w:val="right" w:pos="9345"/>
            </w:tabs>
            <w:jc w:val="both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7dp8vu">
            <w:r>
              <w:rPr>
                <w:rFonts w:ascii="Times New Roman" w:eastAsia="Times New Roman" w:hAnsi="Times New Roman" w:cs="Times New Roman"/>
                <w:color w:val="000080"/>
                <w:sz w:val="22"/>
                <w:szCs w:val="22"/>
                <w:u w:val="single"/>
              </w:rPr>
              <w:t>4.1. Процедура захисту курсової роботи</w:t>
            </w:r>
          </w:hyperlink>
          <w:hyperlink w:anchor="_17dp8vu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10</w:t>
            </w:r>
          </w:hyperlink>
        </w:p>
        <w:p w:rsidR="009161E7" w:rsidRDefault="00581D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tabs>
              <w:tab w:val="right" w:pos="9345"/>
            </w:tabs>
            <w:jc w:val="both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z337ya">
            <w:r>
              <w:rPr>
                <w:rFonts w:ascii="Times New Roman" w:eastAsia="Times New Roman" w:hAnsi="Times New Roman" w:cs="Times New Roman"/>
                <w:color w:val="000080"/>
                <w:sz w:val="22"/>
                <w:szCs w:val="22"/>
                <w:u w:val="single"/>
              </w:rPr>
              <w:t>4.2. Оцінювання курсової роботи</w:t>
            </w:r>
          </w:hyperlink>
          <w:hyperlink w:anchor="_z337ya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11</w:t>
            </w:r>
          </w:hyperlink>
        </w:p>
        <w:p w:rsidR="009161E7" w:rsidRDefault="00581D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tabs>
              <w:tab w:val="right" w:pos="9345"/>
              <w:tab w:val="left" w:pos="440"/>
            </w:tabs>
            <w:jc w:val="both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5nkun2">
            <w:r>
              <w:rPr>
                <w:rFonts w:ascii="Times New Roman" w:eastAsia="Times New Roman" w:hAnsi="Times New Roman" w:cs="Times New Roman"/>
                <w:color w:val="000080"/>
                <w:sz w:val="22"/>
                <w:szCs w:val="22"/>
                <w:u w:val="single"/>
              </w:rPr>
              <w:t>5.</w:t>
            </w:r>
          </w:hyperlink>
          <w:hyperlink w:anchor="_35nkun2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_35nkun2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80"/>
              <w:sz w:val="22"/>
              <w:szCs w:val="22"/>
              <w:u w:val="single"/>
            </w:rPr>
            <w:t>Тематика курсових робіт для здобувачів вищ</w:t>
          </w:r>
          <w:r>
            <w:rPr>
              <w:rFonts w:ascii="Times New Roman" w:eastAsia="Times New Roman" w:hAnsi="Times New Roman" w:cs="Times New Roman"/>
              <w:color w:val="000080"/>
              <w:sz w:val="22"/>
              <w:szCs w:val="22"/>
              <w:u w:val="single"/>
            </w:rPr>
            <w:t>ої освіти 014.11 Середня освіта (Фізичне виховання)</w:t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ab/>
            <w:t>13</w:t>
          </w:r>
          <w:r>
            <w:fldChar w:fldCharType="end"/>
          </w:r>
        </w:p>
        <w:p w:rsidR="009161E7" w:rsidRDefault="00581D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tabs>
              <w:tab w:val="right" w:pos="9345"/>
            </w:tabs>
            <w:jc w:val="both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j2qqm3">
            <w:r>
              <w:rPr>
                <w:rFonts w:ascii="Times New Roman" w:eastAsia="Times New Roman" w:hAnsi="Times New Roman" w:cs="Times New Roman"/>
                <w:color w:val="000080"/>
                <w:sz w:val="22"/>
                <w:szCs w:val="22"/>
                <w:u w:val="single"/>
              </w:rPr>
              <w:t>ЗРАЗОК ОФОРМЛЕННЯ КУРСОВОЇ РОБОТИ</w:t>
            </w:r>
          </w:hyperlink>
          <w:hyperlink w:anchor="_3j2qqm3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15</w:t>
            </w:r>
          </w:hyperlink>
          <w:r>
            <w:fldChar w:fldCharType="end"/>
          </w:r>
        </w:p>
      </w:sdtContent>
    </w:sdt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gjdgxs" w:colFirst="0" w:colLast="0"/>
      <w:bookmarkEnd w:id="1"/>
    </w:p>
    <w:p w:rsidR="009161E7" w:rsidRDefault="00581DDB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</w:t>
      </w: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аписання та оформлення курсової роботи </w:t>
      </w:r>
    </w:p>
    <w:p w:rsidR="009161E7" w:rsidRDefault="009161E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 робота (КР) є творчою дослідницькою роботою, яку здобувач вищої освіти виконує самостійно на базі теоретичних знань і практичних навичок, отриманих здобувачем протягом навчальних семестрів, пов’язана з розро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бкою конкретних теоретичних і науково-виробничих завдань інноваційного характеру, що визначаються специфікою предметної спеціалізації 014.11 Середня освіта (Фізична культура).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Метою КР може бути: розроблення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удосконалення існуючих програм; відпра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цювання методики, інструкцій, нормативів; дослідження механізму і його зміни через внутрішні та зовнішні фактори та ін.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Завдання КР може складатися з таких елементів: вивчення стану і глибини розробленості теми, виділення проблем; обґрунтування напряму вир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 проблеми з погляду нових наукових даних і зміни новітньої практики; розроблення методів вирішення проблеми; розроблення пропозицій щодо використання результатів дослідження; експериментальна перевірка результатів дослідження тощо.</w:t>
      </w:r>
      <w:bookmarkStart w:id="3" w:name="1fob9te" w:colFirst="0" w:colLast="0"/>
      <w:bookmarkEnd w:id="3"/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Потижневий план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конання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1-3 тижні: отримання завдання; добір наукових джерел для розробки інформаційної частини уроку.</w:t>
      </w:r>
    </w:p>
    <w:p w:rsidR="009161E7" w:rsidRDefault="00581D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4-7 тижні: оформлення інформаційної частини уроку, розрахунок часу; добір доцільних методів навчання та розробка методичних рекомендацій щодо проведення уроку.</w:t>
      </w:r>
    </w:p>
    <w:p w:rsidR="009161E7" w:rsidRDefault="00581D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8-12 тижні: оформлення методичної розробки уроку.</w:t>
      </w:r>
    </w:p>
    <w:p w:rsidR="009161E7" w:rsidRDefault="00581DD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тиждень: захист КР.</w:t>
      </w:r>
    </w:p>
    <w:p w:rsidR="009161E7" w:rsidRDefault="009161E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2et92p0" w:colFirst="0" w:colLast="0"/>
      <w:bookmarkEnd w:id="5"/>
    </w:p>
    <w:p w:rsidR="009161E7" w:rsidRDefault="00581DDB">
      <w:pPr>
        <w:keepNext/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Вимоги до змісту та 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руктури курсової роботи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 робота є творчою дослідницькою роботою, яка виконується студентом самостійно на базі теоретичних знань і практичних навичок з дисциплін у галузі «фізична культура і спорт», отриманих студентом протягом семестру, пов’язана з розробкою конкретних тео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ретичних і науково-виробничих завдань інноваційного характеру, що визначаються специфікою відповідного напряму підготовки та спеціалізації («Фізична культура», «Фізична культура і спорт»).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Зміст курсової роботи передбачає:</w:t>
      </w:r>
    </w:p>
    <w:p w:rsidR="009161E7" w:rsidRDefault="00581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формулювання мети й завдань дослі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дження;</w:t>
      </w:r>
    </w:p>
    <w:p w:rsidR="009161E7" w:rsidRDefault="00581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аналіз стану вирішення проблеми за матеріалами вітчизняних і зарубіжних публікацій, обґрунтування мети дослідження;</w:t>
      </w:r>
    </w:p>
    <w:p w:rsidR="009161E7" w:rsidRDefault="00581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вибір методів досліджень, які застосовуються під час розв’язання науково-дослідного завдання, розробку власного плану дослідження;</w:t>
      </w:r>
    </w:p>
    <w:p w:rsidR="009161E7" w:rsidRDefault="00581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ворчий аналіз і узагальнення фактичного матеріалу, який використовується в процесі дослідження;</w:t>
      </w:r>
    </w:p>
    <w:p w:rsidR="009161E7" w:rsidRDefault="00581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отримання власних результатів, що мають теоретичне, прикладне або науково-методичне значення;</w:t>
      </w:r>
    </w:p>
    <w:p w:rsidR="009161E7" w:rsidRDefault="00581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узагальнення результатів досліджень з наведенням висновків і реком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ендацій.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Матеріал викладається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використанням наукового стилю писемної мови. Виклад не повинен містити повторів та не бути перевантаженим цитатами. Не допускається просте переписування літературних джерел, забороняється їх цитування без посилань.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Мова і спить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роботи необхідні відповідати так званому академічному етикету, сутністю якого є інтерпретація власної і запозичених точок зору з метою обґрунтування наукової істини.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Найхарактернішою ознакою писемної наукової мови є формально-логічний спосіб викладу матеріалу. Це знаходить своє відображення у всій системі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засобів. Науковий виклад складається головним чином з роздумів, метою яких є доведення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виявлених у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зультаті дослідження фактів дійсності.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наукового тексту характерними є смислова завершеність, цілісність і зв’язність. Тут найважливішим засобом вираження логічних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спеціальні функціонально-синтаксичні засоби зв’язку, що вказують на послідовн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ість розвитку думки (спочатку, насамперед, потім, по-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перше, по-друге, отже), заперечення (проте, тимчасом, але, тим не менше, аж ніяк), причинно-наслідкові відношення (таким чином, тому, завдяки цьому, відповідно до цього, внаслідок цього, крім того, до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ж), перехід від однієї думки до іншої (тепер звернімося до..., розглянемо, зупинимось на..., розглянувши..., перейдемо до..., необхідно зупинитися на..., необхідно розглянути...), результат, висновок (отже, значить, як висновок, на закінчення зазначимо,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сказане дає змогу зробити висновок, підсумовуючи, слід сказати...).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Особливістю мови наукової прози є також відсутність експресії. Звідси домінуюча форма оцінки – констатація ознак, притаманних слову, яке визначають. Тому тут більшість прикметників 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частинами термінологічних виразів.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Обов’язковою вимогою об’єктивності викладу матеріалу є також вказівка на джерело повідомлення, автора висловленої думки чи якогось виразу. У тексті цю умову можна реалізувати за допомогою спеціальних вставних слів і слово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сполучень (за повідомленням, за відомостями, на думку, за даними, на нашу думку тощо).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українській науці існує неписане правило замість «я» використовувати «ми» з огляду на те, що представлення суб’єкта авторства як формального колективу надає більшого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б’єктивізму викладові. Вираження авторства через «ми» дає змогу відобразити власну думку як думку певної групи людей, наукової школи чи наукового напрямку. І це цілком зрозуміло, оскільки сучасну науку характеризують такі тенденції, як інтеграція, колектив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ність творчості, комплексний підхід до вирішення проблем. Займенник «ми» та його похідні набагато краще передає й відтінює ці тенденції.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курсової роботи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Курсова робота повинна містити:</w:t>
      </w:r>
    </w:p>
    <w:p w:rsidR="009161E7" w:rsidRDefault="00581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титульний аркуш (за зразком);</w:t>
      </w:r>
    </w:p>
    <w:p w:rsidR="009161E7" w:rsidRDefault="00581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зміст (див. зразок);</w:t>
      </w:r>
    </w:p>
    <w:p w:rsidR="009161E7" w:rsidRDefault="00581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 умовних скорочень (за необхідністю);</w:t>
      </w:r>
    </w:p>
    <w:p w:rsidR="009161E7" w:rsidRDefault="00581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 (див. зразок);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 частину, яка складається з розділів, кожний параграф з яких завершується стислими висновками;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висновки;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використаних джерел;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додатки (за необхідністю).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Курсова робота повинна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бути результатом завершеної науково-практичної розробки й свідчити про те, що автор володіє сучасними методами наукових досліджень і спроможний самостійно вирішувати професійні завдання, які мають теоретичне й практичне значення. Курсова робота повинна бут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виконана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без помилок і некоректних скорочень. У ній повинні бути чіткі, зрозумілі для сприйняття формулювання вихідних положень, припущень, отриманих результатів, тверджень тощо.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tyjcwt" w:colFirst="0" w:colLast="0"/>
      <w:bookmarkEnd w:id="6"/>
    </w:p>
    <w:p w:rsidR="009161E7" w:rsidRDefault="00581DD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Правила оформлення курсової роботи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 робота зі спеціальності «Фізична культура» повинна відповідати наступним вимогам.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змісті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(подається на початку курсової роботи) містяться назви й номери початкових сторінок усіх структурних компонентів роботи: вступу, розділів, підрозділів та пун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ктів (якщо вони мають заголовок), загальних висновків, списку використаних джерел, додатків, інших структурних частин.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Якщо в роботі вживається специфічна термінологія, а також використано маловідомі скорочення, нові символи, позначення тощо, то їх перелік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бути подано у вигляді окремого списку, який розміщують перед вступом.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 умовних позначень, символів, одиниць,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скорочень і термінів та їх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розшифровка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необов'язковою структурною частиною курсової роботи. Він оформляється за потреби й друкується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двома колонками у вигляді окремого списку, який розміщується перед вступом. Якщо спеціальні терміни, скорочення, символи тощо, повторюються у роботі менш, як три рази, перелік не складають, а їх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розшифровку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наводять у тексті при першому згадуванні. До змі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 перелік умовних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позначень, як правило, не включають.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прикладу, умовні скорочення розшифровуються у зазначеному переліку таким чином: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11"/>
        </w:tabs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Заклад вищої освіти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11"/>
        </w:tabs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Районний відділ освіти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11"/>
        </w:tabs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Вступ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якому визначається актуальність теми, мета та завдання, об’єкт та предмет дослідження, методи дослідження, структура та обсяг роботи.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Варто обґрунтувати необхідність розробки теми для підвищення ефективності фізичного виховання у різних навчальних закла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або організаціях. Далі показується ступінь розробленості теми, висновком із чого буде виділення напрямку курсової роботи у вигляді проблеми.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дослідження може бути:</w:t>
      </w:r>
    </w:p>
    <w:p w:rsidR="009161E7" w:rsidRDefault="00581D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розроблення проектів, удосконалення існуючих програм;</w:t>
      </w:r>
    </w:p>
    <w:p w:rsidR="009161E7" w:rsidRDefault="00581D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відпрацювання методики, інструкцій, нормативів;</w:t>
      </w:r>
    </w:p>
    <w:p w:rsidR="009161E7" w:rsidRDefault="00581D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7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дослідження механізму і його зміни через внутрішні та зовнішні фактори та ін.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Завдання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дослідження може складатися з наступних елементів:</w:t>
      </w:r>
    </w:p>
    <w:p w:rsidR="009161E7" w:rsidRDefault="00581D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 стану і глибини розробленості теми, виділення проблем;</w:t>
      </w:r>
    </w:p>
    <w:p w:rsidR="009161E7" w:rsidRDefault="00581D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обґрунтування напрямку вирішення проблеми з погляду нових наукових даних і зміни новітньої практики;</w:t>
      </w:r>
    </w:p>
    <w:p w:rsidR="009161E7" w:rsidRDefault="00581D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розроблення методів вирішення проблеми;</w:t>
      </w:r>
    </w:p>
    <w:p w:rsidR="009161E7" w:rsidRDefault="00581D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розроблення пропозицій щодо використання результатів дослідження;</w:t>
      </w:r>
    </w:p>
    <w:p w:rsidR="009161E7" w:rsidRDefault="00581D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експериментальна перевірка результатів дослідження і т ін.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поставлених завдань випливає визначення розділів роботи.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Об'єкт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це загальні, обрані для дослідження явища або процеси в галузі фізичного виховання.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міститься в межах об’єкта та вказує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проблемну ситуацію. Саме предмет дослідження визначає тему роботи, яка позначається на титульному аркуші як її назва.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Основна частина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(тут автор роботи подає: огляд літератури за темою і вибір напрямів дослідження; експериментальну частину і методику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слідження; проведені теоретичні та/або експериментальні дослідження; аналіз і узагальнення результатів дослідження. В кінці кожного розділу формулює висновки із стислим викладенням наведених у ньому наукових і практичних результатів). У курсовій роботі 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умовно виділити блоки дослідження, зокрема теоретичний, аналітичний, експериментальний, проектувальний.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Теоретичний блок.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ньому обґрунтовують теоретичну базу обраної проблеми, дають огляд літературних джерел, нових розробок, іншої інформації, пов'язаних із темою. Теоретичну частину розробляють на засадах вивчення спеціальної літератури, нормативно-законодавчої документації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статистичної інформації, досвіду сучасних вітчизняних і закордонних фахівців.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Розглядають такі аспекти проблеми: категорії, характеристики, законодавчі акти, які відображають тему; показники; фактори; алгоритми; концепції й моделі, пов'язані з проблемою;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ступінь вивченості проблеми; світові та вітчизняні приклади, доцільності їх дотримання.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теоретичної частини є висновки щодо вивченості напряму та окремих проблем обраної теми вітчизняними та зарубіжними науковцями.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Експериментальний блок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ється на проведенні комплексних методологічних досліджень предмету та об'єкту, їхнього стану у різні періоди часу. Дослідження здійснюються за матеріалами, що відображають стан предмету та об'єкту у динаміці, наприклад, за кілька попередніх років (місяців)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його вплив на ефективність педагогічної, інноваційної,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здоров'язбережувальної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спортивної та інших видів діяльності.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дослідженнях використовуються методи аналізу, педагогічного експерименту, математичної статистики, моделювання, соціальних дослідже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та інші. Результатами досліджень можуть бути емпіричні, графічні та інші залежності, нормативні дані, моделі, схеми та структури, соціально-психологічні рішення, розроблені методики тощо. Результати досліджень мають бути використані для обґрунтування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нкретних рішень. Студент повинен продемонструвати вміння проводити наукові дослідження, застосовувати сучасні методи наукового пізнання, надавати наукову характеристику новим явищам, а також використовувати нові знання для конкретних прикладних рішень.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 теоретичні дослідження доцільно обґрунтовувати шляхом порівняння, узагальнення світового та вітчизняного досвіду, залучення наукових досягнень тощо.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експериментально-дослідницької частини повинна бути певна методологічна модель (графічна, таб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лична, словесна, математична) пошуку механізмів розв'язання проблеми, поставленої у курсовій роботі. Ця модель повинна мати наскрізний характер, тобто щоб її алгоритм можна було б використовувати для аналізу відповідної інформації та обґрунтування рекоменд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ацій, пропозицій і висновків.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Аналітичний блок.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Аналізуються явища, котрі досліджуються у курсовій роботі. При цьому слід враховувати наступне: фактори позитивної та негативної дії; аналітична частина має бути закінчена висновками, де у стислій формі навод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яться результати аналізу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напрями розробок.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подання аналітичного матеріалу може бути довільною (словесна; графічна; таблична; у вигляді моделей, блок-схем тощо), але обов'язково повинна кореспондувати з цілями і задачами курсової 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Проектний блок.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цій частині студент обґрунтовує свої проектні розробки. Спеціальна частина курсової роботи може включати такі матеріали: заходи з охорони та збереження здоров’я, заходи щодо покращення процесу фізичного виховання в різних верствах населення; заходи з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зпеки процесу спортивного тренування; приклади математичного підтвердження ефективності пропозицій у відповідності з темою роботи.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Висновки та пропозиції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теоретичні підсумки всієї роботи, найбільш важливі наукові та практичні результати з формулюванням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розв’язаної наукової проблеми, її значення для науки та практики.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написанні курсової роботи студент має обов’язково посилатися на авторів і джерела, з яких запозичив матеріали або окремі результати, чи на ідеях і висновках яких базуються проблеми, завд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ання й питання, вивченню яких присвячена його робота. Такі посилання дають змогу іншим дослідникам відшукати документи і перевірити достовірність відомостей щодо цитування кожного документа, знайти необхідну інформацію щодо нього, допомагають з’ясувати йог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зміст, мову тексту, обсяг.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Список використаних джерел.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Джерела розміщують в алфавітному порядку, або в порядку появи посилань у тексті, але відповідно до вимог діючих бібліографічних стандартів. У списку використаних джерел уміщено наукові публікації 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зного рівня, архівні джерела, які використано автором для обґрунтування позицій своєї роботи.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підтвердження власних аргументів посилання на авторитетне джерело слід наводити цитати. Кожна цитата обов'язково супроводжується посиланням на джерело. Посила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 в тексті роботи на джерела роблять згідно з їхнім переліком у квадратних дужках, наприклад, «... у працях [1-7]...».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Цитата в тексті: «... завдання забезпечувати умови, за яких ...» [17, с.104].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Оформлення списку використаних джерел та літератури.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літератури є складовою частиною роботи і відображає ступінь вивченості розглянутої проблеми. Список використаних джерел та літератури повинен містити усі назви праць та документів, на які зроблено посторінкові посилання в роботі. Не можна включати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бібліографічного списку праці, на які немає посилання у тексті роботи і які фактично не були використані.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Джерела можна розміщувати одним із наступних способів.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Перший спосіб:</w:t>
      </w:r>
    </w:p>
    <w:p w:rsidR="009161E7" w:rsidRDefault="00581DD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нормативно-правові акти органів законодавчої і виконавчої влади: Конституція,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закони, укази Президента, постанови Уряду - у хронологічній послідовності;</w:t>
      </w:r>
    </w:p>
    <w:p w:rsidR="009161E7" w:rsidRDefault="00581DD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відомчі правові акти - у хронологічній послідовності;</w:t>
      </w:r>
    </w:p>
    <w:p w:rsidR="009161E7" w:rsidRDefault="00581DD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джерела статистичних даних - у хронологічній послідовності;</w:t>
      </w:r>
    </w:p>
    <w:p w:rsidR="009161E7" w:rsidRDefault="00581DD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 і матеріали державних архівних установ - у хронологічній послідовності;</w:t>
      </w:r>
    </w:p>
    <w:p w:rsidR="009161E7" w:rsidRDefault="00581DD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і статті українською та російською мовою – за абеткою; книги і статті на іноземних мовах - за абеткою.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3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Другий спосіб – у порядку появи посилань у тексті (найбільш зручний для користування і рекомендований при написанні курсової роботи).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Третій спосіб – в алфавітному порядку прізвищ перших авторів або заголовків.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Література нумерується суцільним порядком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першої до останньої назви.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Бібліографічний опис джерел складають відповідно до чинних стандартів з бібліотечної та видавничої справи. Зокрема, потрібну інформацію можна одержати із таких стандартів: ГОСТ 7.1-84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ДСТУ 3582-97 «Інформація та документація. Скорочення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слів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українській мові в бібліографічному описі. Загальні вимоги та правила», ГОСТ 7.12-93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правила».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додатків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доцільно включати допоміжний матеріал, необхідний для повноти сприйняття роботи. Додатки містять таблиці, рисунки, графіки, анкети, тести, програми спостережень, питання до інтерв’ю, методичні розробки тощо. Додатки розміщують 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орядку появи посилань у тексті.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Якщо додатки можна розмістити на аркушах формату А4, вони послідовно брошуруються у роботу після списку використаних джерел з наскрізною нумерацією сторінок. Для додатків можна не дотримуватися вимог щодо розміру шрифту та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іжрядкового інтервалу.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Якщо ж розмір додатків (таблиці, графіки, карти тощо) є більшим, ніж формат А4, вони оформляються в окремій структурованій папці, на якій зазначається слово "ДОДАТКИ" та назва курсової роботи і прізвище та ініціали автора.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Розміщуват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додатки слід у порядку появи посилань на них у тексті курсової роботи. Кожний додаток повинен починатися з нової сторінки. Додатки слід позначати послідовно великими літерами української абетки, за винятком літер Ґ, Є, З, І, ї, Й, О, Ч, Ь, наприклад, «До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даток А», «Додаток Б» і т. д. Позначення «Додаток ...» робиться у правому верхньому куті аркуша, нижче симетрично до тексту розміщується назва додатку. За необхідності текст додатків може поділятися на розділи, підрозділи, пункти і підпункти, які слід нуме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рувати в межах кожного додатку. У цьому разі перед кожним номером ставлять позначення додатку (літеру ) і крапку, наприклад. А.2 – другий розділ додатку А; Г.3.1 – підрозділ 3.1 додатку Г.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Ілюстрації, таблиці, формули, що у тексті додатку, потрібно нумеру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вати в межах кожного додатку, наприклад, рисунок Г.З - третій рисунок додатку Г; таблиця А.2 - друга таблиця додатку А; формула (А. 1) – перша формула додатку А.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кожну курсову роботу керівник пише рецензію. В рецензії потрібно аналізувати й оцінити:</w:t>
      </w:r>
    </w:p>
    <w:p w:rsidR="009161E7" w:rsidRDefault="00581DD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актуальність теми;</w:t>
      </w:r>
    </w:p>
    <w:p w:rsidR="009161E7" w:rsidRDefault="00581DD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вміння визначити основні питання і викласти матеріал в логічній послідовності й взаємозв’язку;</w:t>
      </w:r>
    </w:p>
    <w:p w:rsidR="009161E7" w:rsidRDefault="00581DD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позитивні сторони та недоліки при висвітленні теми (глибина розкриття, повнота вивчення літературних джерел тощо);</w:t>
      </w:r>
    </w:p>
    <w:p w:rsidR="009161E7" w:rsidRDefault="00581DD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самостійність, творчий підх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 студента до осмислення теоретичного і фактичного матеріалу;</w:t>
      </w:r>
    </w:p>
    <w:p w:rsidR="009161E7" w:rsidRDefault="00581DD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вміння користуватись працями класиків вітчизняної і світової науки, нормативно-правовими актами, бібліографічним апаратом для ілюстрації своїх думок;</w:t>
      </w:r>
    </w:p>
    <w:p w:rsidR="009161E7" w:rsidRDefault="00581DD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оформлення курсової роботи;</w:t>
      </w:r>
    </w:p>
    <w:p w:rsidR="009161E7" w:rsidRDefault="00581DD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наявність висно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вків і пропозицій.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Посада, прізвище, ім’я, по батькові, науковий ступінь, вчене звання рецензента. Дата, підпис.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Курсова робота, яка несвоєчасно подана на рецензування і не відповідає встановленім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вимогам, до захисту не допускається.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7" w:name="3dy6vkm" w:colFirst="0" w:colLast="0"/>
      <w:bookmarkEnd w:id="7"/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Приблизний розподіл складових структури курсової роботи</w:t>
      </w:r>
    </w:p>
    <w:tbl>
      <w:tblPr>
        <w:tblStyle w:val="a5"/>
        <w:tblW w:w="67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77"/>
        <w:gridCol w:w="2074"/>
        <w:gridCol w:w="950"/>
      </w:tblGrid>
      <w:tr w:rsidR="009161E7">
        <w:trPr>
          <w:cantSplit/>
          <w:trHeight w:val="415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Титульний аркуш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30-50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</w:tr>
      <w:tr w:rsidR="009161E7">
        <w:trPr>
          <w:cantSplit/>
          <w:trHeight w:val="421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1E7">
        <w:trPr>
          <w:cantSplit/>
          <w:trHeight w:val="646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Умовні позначки (скорочення)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(за необхідністю)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1E7">
        <w:trPr>
          <w:cantSplit/>
          <w:trHeight w:val="428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1E7">
        <w:trPr>
          <w:cantSplit/>
          <w:trHeight w:val="1648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 частина: 2-3 рівновеликих розділи, які можуть складаються з 2-4 підрозділів (але необов’язково). Кожен параграф завершується висновками (не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виносяться до змісту)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менше 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1E7">
        <w:trPr>
          <w:cantSplit/>
          <w:trHeight w:val="250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 та пропозиції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менше 3-5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1E7">
        <w:trPr>
          <w:cantSplit/>
          <w:trHeight w:val="929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використаних джерел, що згадується в тексті (посилання, цитування)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15-25 джерел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 не об меже-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ний</w:t>
            </w:r>
          </w:p>
        </w:tc>
      </w:tr>
      <w:tr w:rsidR="009161E7">
        <w:trPr>
          <w:cantSplit/>
          <w:trHeight w:val="701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регламентуються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1t3h5sf" w:colFirst="0" w:colLast="0"/>
      <w:bookmarkEnd w:id="8"/>
    </w:p>
    <w:p w:rsidR="009161E7" w:rsidRDefault="00581DD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Технічне оформлення курсової роботи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 робота повинна бути виконана друкованим способом за допомогою комп'ютера на одному боці аркуша білого паперу формату А4 (210x297 мм).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Обсяг основного тексту курсової роботи повинен становити не менше 30 сторінок (без урахування списку використаних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джерел і додатків).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курсової роботи необхідно друкувати з міжрядковим інтервалом 1,5 (до тридцяти рядків на сторінці), поля: угорі, внизу - 25 мм, з лівого боку - 30 мм. з правого боку - 15 мм; абзац - 1,25 мм; шрифт -</w:t>
      </w:r>
      <w:r>
        <w:rPr>
          <w:rFonts w:ascii="Arial" w:eastAsia="Arial" w:hAnsi="Arial" w:cs="Arial"/>
          <w:i/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>Times</w:t>
      </w:r>
      <w:proofErr w:type="spellEnd"/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кегль - 14.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 повинен бути чітким, чорного кольору, середньої жирності.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Заголовки основних структурних частин курсової роботи друкують великими літерами симетрично до тексту, наприклад: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ЗМІСТ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Заголовки підрозділів (параграфів) друкують з абзацу звичайним шрифтом.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рапку в кінці заголовків не ставлять. Якщо заголовок складається з двох або більше речень, їх розділяють крапками. Відстань між заголовками та текстом повинна дорівнювати 2 інтервалам.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Кожну структурну частину курсової роботи слід починати з нової сторінки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Першою сторінкою курсової роботи є титульний аркуш, який включають до загальної нумерації сторінок. На титульному аркуші номер сторінки не ставлять, на наступних сторінках номер проставляють у правому верхньому куті без крапки в кінці.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обчислення загального обсягу курсової роботи включають її основну частину (без списку використаних джерел та додатків). Але усі сторінки списку використаних джерел та додатків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наскрізно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нумеруються на загальних підставах.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Нумерацію сторінок, розділів, 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сунків, таблиць, формул подають арабськими цифрами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«№».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розділу ставиться після слова «РОЗДІЛ» (крапка не ставиться). 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Заголовок розділу друкується з нового рядка: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 1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 РОЗДІЛУ</w:t>
      </w:r>
    </w:p>
    <w:p w:rsidR="009161E7" w:rsidRDefault="009161E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потреби підрозділи нумерують у межах кожного розділу. Номер підрозділу складається з номера розділу й порядкового номера параграфа, між якими ставиться крапка, наприклад:  «1.1.». Потім у тому ж рядку йде заголовок підрозділу. Пункти (за їх наявності)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умерують в межах кожного підрозділу. Номер пункту складається з порядкових номерів розділу, підрозділу, пункту, між якими ставиться крапка. Наприкінці номеру повинна стояти крапка.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Якщо в тексті роботи використано ілюстрації (рисунки, графіки, схеми) й таб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лиці, то їх подають безпосередньо після тексту, де вони згадуються вперше. Якщо ілюстрація чи таблиця мають формат більший за А4, то її можна розмістити в додатках. Ілюстрації позначають словом «Рис.» і нумерують послідовно в межах розділу (за винятком ілю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страцій, поданих у додатках). Номер ілюстрації складається з номера розділу й порядкового номера ілюстрації, між якими ставиться крапка. Номер ілюстрації, її назва й пояснювальний підпис розміщується безпосередньо під ілюстрацією.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Таблиці нумерують послідовно (за винятком таблиць, поданих у додатках) у межах розділу. У правому верхньому куті над відповідним заголовком таблиці розміщується напис «Таблиця» із зазначенням її номера. Номер таблиці повинен складатися з номера розділу 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орядкового номера таблиці, між якими ставиться крапка.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Якщо таблиця переноситься на наступну сторінку, то над таблицею пишеться «Продовження таблиці» й указується її номер. Назви граф у таблиці пишуться з великої літери, підзаголовки - з маленької, якщо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складають одне речення із заголовком. Якщо вони самостійні, то пишуться з великої літери. Висота рядків повинна бути не менше 8 мм.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 в курсовій роботі (якщо їх більше однієї) нумерують у межах розділу. Номер формули складається з номера розділу 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порядкового номера формули в розділі, між якими ставиться крапка.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підтвердження власних аргументів посиланням на авторитетне джерело або для критичного аналізу того чи іншого твору слід наводити цитати. Науковий етикет вимагає точно відтворювати цитов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текст, бо найменше скорочення наведеного витягу може спотворити зміст, закладений автором. Кожна цитата обов'язково супроводжується посиланням на джерело. Посилання в тексті курсової роботи на джерела слід зазначати у квадратних дужках порядковим номе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цього джерела за бібліографічним списком і відповідною сторінкою,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наприклад: [5, с. 15]. Посилання на джерела без прямого цитування вказуються в квадратних дужках, наприклад [14], а якщо посилання відбувається на кілька джерел, то вони подаються у квад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ратних дужках через крапку з комою [1; 3; 8].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списку літератури містяться всі публікації вітчизняних і зарубіжних авторів, на які є посилання в роботі. Усі джерела подаються тією мовою, якою вони видані. Список починається з джерел українською та російсь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кою мовами. Література іноземними мовами наводиться в кінці списку. Відомості про джерела, які включено до списку, подаються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згідно з вимогами державного стандарту з обов'язковим наведенням назв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праць.У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кінці наукових робіт розміщують додатки в порядку поя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 посилань у тексті. У правому верхньому куті малими літерами (перша - велика) подається слово «Додаток» із зазначенням його номера, але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«№». Якщо до наукової роботи включено лише один додаток, то слово </w:t>
      </w:r>
      <w:bookmarkStart w:id="9" w:name="4d34og8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«Додаток» подається без номера.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2s8eyo1" w:colFirst="0" w:colLast="0"/>
      <w:bookmarkEnd w:id="10"/>
    </w:p>
    <w:p w:rsidR="009161E7" w:rsidRDefault="00581DD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Орган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ізаційно-методичні вказівки до захисту та оцінювання курсової роботи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17dp8vu" w:colFirst="0" w:colLast="0"/>
      <w:bookmarkEnd w:id="11"/>
    </w:p>
    <w:p w:rsidR="009161E7" w:rsidRDefault="00581DD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Процедура захисту курсової роботи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захисту курсових робіт створюється екзаменаційна комісія зі складу досвідчених працівників професорсько-викладацького складу кафедри.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Безпосередньо у день захисту кафедрою надаються:</w:t>
      </w:r>
    </w:p>
    <w:p w:rsidR="009161E7" w:rsidRDefault="00581DD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25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повний текст курсової роботи;</w:t>
      </w:r>
    </w:p>
    <w:p w:rsidR="009161E7" w:rsidRDefault="00581DD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20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ілюстративний матеріал до курсової роботи (якщо його передбачено специфікою напряму підготовки);</w:t>
      </w:r>
    </w:p>
    <w:p w:rsidR="009161E7" w:rsidRDefault="00581DD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1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матеріали, що характеризують наукову (творчу) і практичну цінність виконаної роботи: друковані статті, методичні розробки тощо (якщо вони є);</w:t>
      </w:r>
    </w:p>
    <w:p w:rsidR="009161E7" w:rsidRDefault="00581DD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1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рецензія керівника.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Студент, представляючи свою роботу на захисті, повинен у стислому вигляді:</w:t>
      </w:r>
    </w:p>
    <w:p w:rsidR="009161E7" w:rsidRDefault="00581DD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71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обґрунтувати актуальність теми та охарактеризувати структуру роботи;</w:t>
      </w:r>
    </w:p>
    <w:p w:rsidR="009161E7" w:rsidRDefault="00581DD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720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висвітлити постановку проблеми за темою дослідження;</w:t>
      </w:r>
    </w:p>
    <w:p w:rsidR="009161E7" w:rsidRDefault="00581DD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71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стисло викласти найбільш важливі положення та основний зміст роботи;</w:t>
      </w:r>
    </w:p>
    <w:p w:rsidR="009161E7" w:rsidRDefault="00581DD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71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описати методику й результати дослідження;</w:t>
      </w:r>
    </w:p>
    <w:p w:rsidR="009161E7" w:rsidRDefault="00581DD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725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представити результати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апробації роботи;</w:t>
      </w:r>
    </w:p>
    <w:p w:rsidR="009161E7" w:rsidRDefault="00581DD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71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окреслити можливості практичного використання результатів роботи, звернути увагу на висновки та рекомендації;</w:t>
      </w:r>
    </w:p>
    <w:p w:rsidR="009161E7" w:rsidRDefault="00581DD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717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визначити перспективи подальших досліджень з обраної тематики.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виступ студента перед комісією відводиться до 5-7 хвилин.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виступу студента на захисті курсової роботи має бути погоджено з науковим керівником. Бажано підготувати презентацію. Основна мета презентації - підвищення сприйняття результатів захисту членами комісії та присутніми.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створенні презентації магіст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ранти повинні підготувати: короткий анотований конспект курсової роботи (виступ); допоміжні анімаційні ефекти для підвищення сприйняття викладеного матеріалу (5-7 слайдів).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Презентація до курсової роботи виконується за допомогою програмного забезпечення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werPoint.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Виступ та відповіді на запитання, зауваження й побажання, указані в рецензії на роботу загалом, повинні показати найвищий рівень теоретичної підготовки студента, його всебічну ерудицію та вміння доступно викласти основні результати проведеного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слідження.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Головата члени комісії, а також інші особи, присутні на захисті, можуть звертатися до студента із запитаннями, на які він зобов’язаний дати змістовні відповіді.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 однієї курсової роботи триває не більше 20 хвилин.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результатами захисту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урсової роботи комісія на своєму закритому засіданні ухвалює рішення щодо оцінки кожної курсової роботи індивідуально.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Повторний захист курсової роботи з метою підвищення оцінки не дозволяється.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 комісії оголошується прилюдно в день захисту курсових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робіт. Воно може бути оскарженим у разі заяви магістранта на апеляцію безпосередньо після оголошення оцінки. Оцінка, визначена комісією, відображається у відомості та залікових книжках.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3rdcrjn" w:colFirst="0" w:colLast="0"/>
      <w:bookmarkEnd w:id="12"/>
    </w:p>
    <w:p w:rsidR="009161E7" w:rsidRDefault="00581DD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Оцінювання курсової роботи</w:t>
      </w:r>
    </w:p>
    <w:p w:rsidR="009161E7" w:rsidRDefault="009161E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оцінюванні курсової роботи комісія бере до уваги такі чинники: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актуальність обраної теми;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чіткість формулювання об’єкта, предмета, завдань дослідження;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логічність структури та її відповідність темі роботи;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системність і глибина теоретичного аналізу проблеми;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наявність огляду наукових джерел з конкретної проблематики;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достовірність та обґрунтованість висновків;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73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відповідність вимогам щодо оформлення роботи;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змістовність доповіді студента про основні результати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дослідження;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ступінь володіння студентом матеріалом дослідження;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чіткість, аргументованість відповідей на запитання членів комісії;</w:t>
      </w:r>
    </w:p>
    <w:p w:rsidR="009161E7" w:rsidRDefault="00581D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6"/>
        </w:tabs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зауваження й рекомендації наукового керівника курсової роботи.</w:t>
      </w:r>
      <w:bookmarkStart w:id="13" w:name="26in1rg" w:colFirst="0" w:colLast="0"/>
      <w:bookmarkEnd w:id="13"/>
    </w:p>
    <w:p w:rsidR="009161E7" w:rsidRDefault="009161E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1E7" w:rsidRDefault="009161E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1E7" w:rsidRDefault="009161E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1E7" w:rsidRDefault="009161E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Розподіл балів, які отримують студенти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 виконання курсової роботи</w:t>
      </w:r>
    </w:p>
    <w:tbl>
      <w:tblPr>
        <w:tblStyle w:val="a6"/>
        <w:tblW w:w="102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23"/>
        <w:gridCol w:w="2912"/>
        <w:gridCol w:w="3043"/>
        <w:gridCol w:w="1147"/>
      </w:tblGrid>
      <w:tr w:rsidR="009161E7">
        <w:trPr>
          <w:trHeight w:val="866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Пояснювальна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Ілюстративна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 роботи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</w:p>
        </w:tc>
      </w:tr>
      <w:tr w:rsidR="009161E7">
        <w:trPr>
          <w:trHeight w:val="694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69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Критерії оцінювання з урахуванням специфіки напряму підготовки за національною шкалою та шкалою ECTS розробляються та затверджуються профільною кафедрою.</w:t>
      </w:r>
      <w:bookmarkStart w:id="14" w:name="lnxbz9" w:colFirst="0" w:colLast="0"/>
      <w:bookmarkEnd w:id="14"/>
    </w:p>
    <w:p w:rsidR="009161E7" w:rsidRDefault="009161E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Орієнтовні критерії оцінювання: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Оцінка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«відмінно»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ставиться, якщо до курсової роботи немає суттєвих зауважень; обґрунтовано актуальність теми; тему розкрито повністю; робота містить елементи наукової новизни, має теоретичне й практичне значення; доповідь на захисті є логічною, змістовною, проголошена з 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льним оперуванням матеріалу; рецензія позитивна; відповіді на питання членів комісії вичерпні й переконливі; робота повністю відповідає встановленим вимогам.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Оцінка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«добре»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ставиться, якщо тема роботи практично розкрита, але наявні певні недоліки, які не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ають істотного значення; у теоретичній частині поверхнево проаналізовано літературні джерела, елементи новизни та практичного значення представлені не зовсім чітко; висновки не є переконливими; є окремі зауваження в рецензії керівника; доповідь студента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захисті побудована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логічно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проголошена з вільним оперуванням матеріалу, відповіді на запитання членів комісії переважно вичерпні й переконливі; робота оформлена в межах встановлених вимог.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Оцінка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«задовільно»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ставиться, якщо тема роботи в основному розкр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ита, але мають місце певні недоліки змістового характеру; нечітко сформульовані мета, завдання, об'єкт, предмет дослідження; відсутній або суттєво обмежений аналіз наукової полеміки; аналітична частина характеризується надмірною описовістю; висновки й проп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озиції, що містяться в роботі не обґрунтовані; рецензія містить окремі зауваження, які не отримали пояснення; доповідь прочитана за текстом, або підготовлена невдало; не всі відповіді на запитання членів комісії є коректними або вони не одержали належної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ргументації; є зауваження щодо оформлення роботи.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Оцінка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«незадовільно»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ставиться, якщо порушено логіку у викладі матеріалу в роботі; розділи не узгоджені між собою; відсутній огляд сучасних літературних джерел; відсутній докладний аналіз досліджуваних проблем; відсутні особисті висновки й пропозиції автора; робота не відповід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ає спеціальності; мають місце суттєві недоліки в оформленні роботи; виступ на захисті свідчить про слабку орієнтацію в досліджуваній проблемі.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2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7"/>
        <w:gridCol w:w="9428"/>
      </w:tblGrid>
      <w:tr w:rsidR="009161E7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Шкала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Орієнтовні критерії</w:t>
            </w:r>
          </w:p>
        </w:tc>
      </w:tr>
      <w:tr w:rsidR="009161E7">
        <w:trPr>
          <w:trHeight w:val="63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відповідає всім вимогам, має інноваційний характер, наукову новизну та практичне значення. Захист показав високу обізнаність студента в предметі дослідження.</w:t>
            </w:r>
          </w:p>
        </w:tc>
      </w:tr>
      <w:tr w:rsidR="009161E7">
        <w:trPr>
          <w:trHeight w:val="568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відповідає всім вимогам, має практичне значення. Результати дослідження можуть бути впроваджено. Захист показав обізнаність студента в предметі дослідження.</w:t>
            </w:r>
          </w:p>
        </w:tc>
      </w:tr>
      <w:tr w:rsidR="009161E7">
        <w:trPr>
          <w:trHeight w:val="576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відповідає всім вимогам, але не має суттєвої новизни та практичного значення. Захист загалом засвідчив обізнаність студента в предметі дослідження</w:t>
            </w:r>
          </w:p>
        </w:tc>
      </w:tr>
      <w:tr w:rsidR="009161E7">
        <w:trPr>
          <w:trHeight w:val="57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загалом відповідає вимогам, але немає новизни й практичного значення. Робота має деякі зауваження. Захист засвідчив не повну обізнаність студента в предметі дослідження.</w:t>
            </w:r>
          </w:p>
        </w:tc>
      </w:tr>
      <w:tr w:rsidR="009161E7">
        <w:trPr>
          <w:trHeight w:val="85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загалом відповідає вимогам, але немає новизни й практичного значення. Робота має суттєві зауваження. Захист засвідчив суттєві недоліки та не повну обізнаність студента в предметі дослідження.</w:t>
            </w:r>
          </w:p>
        </w:tc>
      </w:tr>
      <w:tr w:rsidR="009161E7">
        <w:trPr>
          <w:trHeight w:val="846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не відповідає вимогам, має багато суттєвих зауважень. Захист засвідчив відсутність необхідної підготовки студента, необізнаність студента в предметі дослідження. Необхідно доопрацювати роботу, але повторний захист можливий.</w:t>
            </w:r>
          </w:p>
        </w:tc>
      </w:tr>
      <w:tr w:rsidR="009161E7">
        <w:trPr>
          <w:trHeight w:val="858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FХ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не відповідає вимогам, захист показав відсутність необхідної підготовки студента та повну необізнаність студента в предметі дослідження. Тому повторний захист неможливий, студент повинен отримати нову тему.</w:t>
            </w:r>
          </w:p>
        </w:tc>
      </w:tr>
    </w:tbl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5" w:name="_35nkun2" w:colFirst="0" w:colLast="0"/>
      <w:bookmarkEnd w:id="15"/>
    </w:p>
    <w:p w:rsidR="009161E7" w:rsidRDefault="00581DDB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курсових робіт для здобувачів вищої освіти 014.11 Середня освіта (Фізичне виховання)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Рухова активність і здоров’я дітей, підлітків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-мотиваційний підхід до вдосконалення процесу фізичного виховання у загальноосвітній школі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Оцінка ефективності процесу фізичного виховання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Соціальна, психологічна та фізична адаптація дітей шкільного віку до занять у школі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Розвиток рухових якостей дітей шкільного віку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Управління і контроль за процесом фізичного виховання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Адапт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ивне фізичне виховання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Фізичне виховання учнів з ослабленим здоров'ям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Фізичне виховання студентської молоді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Забезпечення індивідуального підходу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 до учнів різних вікових груп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Здоров’язбережувальні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технології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 школярів різних вікових груп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Диференційований підхід у фізичному вихованні школярів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Методика виховання швидкісних якостей в учнів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Методика виховання сили в учнів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Методика виховання гнучко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сті в учнів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Методика виховання витривалості в учнів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Особливості застосування ігрового та змагального методів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Педагогічні умови досягнення оптимальної цілісності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уроку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Методика формування знань учнів 8-9 класів у процесі вивчення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Здоров’язбережувальний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потенціал сучасного уроку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Методичні основи домашніх завдань з фізичної культури для учнів 5-7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Організація некласифікаційних спортивних змагань в школі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Методика проведення уроку фізичної культури за варіативним модулем «Гімнастика»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Спільна робота батьків і школи з фізичного виховання дітей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Формування мотивації до занять фізичними вправами в учнів основної школи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Особливості організації і методики проведення уроків фізичної культури в 1–4 класах загальноосвітньої школи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Особливості організації і методики проведення уроків фізичної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ультури в 5–7 класах загальноосвітньої школи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Особливості організації і методики проведення уроків фізичної культури в 8-9 класах загальноосвітньої школи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Особливості організації і методики проведення уроків фізичної культури в 10 – 11 класах загальн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оосвітньої школи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Методика проведення уроку фізичної культури за варіативним модулем «Футбол»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31. Методика проведення уроку фізичної культури за варіативним модулем «Легка атлетика»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Методика проведення уроку фізичної культури за варіативним модулем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«Волейбол»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Спільна робота ДЮСШ і загальноосвітньої школи з фізичного виховання учнів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Моральне виховання учнів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Особливості фізичного виховання в дошкільних закладах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 Методика організації занять в спеціальних медичн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групах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 Аналіз сучасної шкільної програми з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38. Виховання особистості учнів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Методика проведення оздоровчої аеробіки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Формування знань в процесі фізичного виховання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41. Естетичне виховання молодших школярів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 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 Теоретичні і методичні основи оцінювання та обліку у фізичній культурі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 Теоретичні основи планування навчального процесу з фізичного виховання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 Методика організації та проведення фізкультурно-оздоровчих заходів протягом навчального дня в школі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 Методика організації і проведення позакласної роботи з фізичної культури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 Позашкільна робота з фізичної культури та спорту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 Дослідження мотивації учнів для занять фізичними вправами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Роль вчителя фізичної культури в естетичному вихованні школярів різних вікових груп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Ефективність використання різних методів навчання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 для школярів різних вікових груп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50. Основні шляхи взаємозв’язку фізичного та естетичного виховання школярів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ksv4uv" w:colFirst="0" w:colLast="0"/>
      <w:bookmarkEnd w:id="16"/>
    </w:p>
    <w:p w:rsidR="009161E7" w:rsidRDefault="00581DD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ЗРАЗОК ОФОРМЛЕННЯ КУРСОВОЇ РОБОТИ</w:t>
      </w:r>
    </w:p>
    <w:p w:rsidR="009161E7" w:rsidRDefault="009161E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Титульний лист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Національний університет «Одеська політехніка»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Навчально-науковий інститут медичної інженерії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фізичного виховання та спорту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КУРСОВА РОБОТА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ЗАСТОСУВАННЯ ЗАСОБІВ ФІЗИЧНОГО ВИХОВАННЯ ДЛЯ ЗМІЦНЕННЯ ПСИХОФІЗИЧНОГО ЗДОРОВ’Я УЧНІВ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 першого (бакалаврського) рівня освіти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Предметної спеціальності 014 Середня освіта (Фізична культура)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заочної форми навчання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3го року навчання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Сидоренко К. К. 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к.пед.н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 В. В.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Національна шкала_____________   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 балів: _______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Оцінка:  ECTS _____ 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Одеса, 2022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</w:t>
      </w:r>
    </w:p>
    <w:tbl>
      <w:tblPr>
        <w:tblStyle w:val="a8"/>
        <w:tblW w:w="96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982"/>
        <w:gridCol w:w="657"/>
      </w:tblGrid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ВСТУП………………………………………………………………………..</w:t>
            </w:r>
          </w:p>
        </w:tc>
        <w:tc>
          <w:tcPr>
            <w:tcW w:w="657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 1. ТЕОРЕТИЧНІ АСПЕКТИ ЗБЕРЕЖЕННЯ ЗДОРОВ'Я ШКОЛЯРІВ…................................................................................................</w:t>
            </w:r>
          </w:p>
        </w:tc>
        <w:tc>
          <w:tcPr>
            <w:tcW w:w="657" w:type="dxa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 збереження здоров’я школярів в умовах освітнього середовища………………………………………………………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</w:t>
            </w:r>
          </w:p>
        </w:tc>
        <w:tc>
          <w:tcPr>
            <w:tcW w:w="657" w:type="dxa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1.2. Психофізичне здоров’я дітей та підлітків під час навчання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закладах середньої освіти………………………………………………….</w:t>
            </w:r>
          </w:p>
        </w:tc>
        <w:tc>
          <w:tcPr>
            <w:tcW w:w="657" w:type="dxa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1.2.1. Шкільні чинники ризику погіршення психофізичного здоров’я школярів………………………………………………………………………</w:t>
            </w:r>
          </w:p>
        </w:tc>
        <w:tc>
          <w:tcPr>
            <w:tcW w:w="657" w:type="dxa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1.2.2. Психосоматичний стан школярів молодшої та основної школи.</w:t>
            </w:r>
          </w:p>
        </w:tc>
        <w:tc>
          <w:tcPr>
            <w:tcW w:w="657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 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ФІЗИЧНИЙ І ПСИХІЧНИЙ РОЗВИТОК ДІТЕЙ ТА ПІДЛІТКІВ ЯК ПОКАЗНИК СТАНУ ЗДОРОВ'Я…………………………</w:t>
            </w:r>
          </w:p>
        </w:tc>
        <w:tc>
          <w:tcPr>
            <w:tcW w:w="657" w:type="dxa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2.1. Закономірності психофізичного розвитку учнів молодшої та основної школи…………………………………………………………….</w:t>
            </w:r>
          </w:p>
        </w:tc>
        <w:tc>
          <w:tcPr>
            <w:tcW w:w="657" w:type="dxa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2.2. Методики оцінювання фізичного та психічного розвитку школярів…………………………………………………………………….</w:t>
            </w:r>
          </w:p>
        </w:tc>
        <w:tc>
          <w:tcPr>
            <w:tcW w:w="657" w:type="dxa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2.2.1. Оцінювання фізичного розвитку……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…………………………..</w:t>
            </w:r>
          </w:p>
        </w:tc>
        <w:tc>
          <w:tcPr>
            <w:tcW w:w="657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2.2.3. Оцінювання нервово-психічного розвитку……………………..</w:t>
            </w:r>
          </w:p>
        </w:tc>
        <w:tc>
          <w:tcPr>
            <w:tcW w:w="657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 3. КОРЕКЦІЯ ПСИХОФІЗИЧНОГО СТАНУ ЗАСОБАМИ ФІЗИЧНОЇ КУЛЬТУРИ……………………………………………………</w:t>
            </w:r>
          </w:p>
        </w:tc>
        <w:tc>
          <w:tcPr>
            <w:tcW w:w="657" w:type="dxa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3.1. Роль рухової активності в психічному розвитку людини…………..</w:t>
            </w:r>
          </w:p>
        </w:tc>
        <w:tc>
          <w:tcPr>
            <w:tcW w:w="657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3.2. Використання фізичних вправ для зниження стану тривожності і депресії………………………………………………………………………</w:t>
            </w:r>
          </w:p>
        </w:tc>
        <w:tc>
          <w:tcPr>
            <w:tcW w:w="657" w:type="dxa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3.3. Використання фізичних вправ для комплексної корекції психофізичного стану школярів…………………………………………..</w:t>
            </w:r>
          </w:p>
        </w:tc>
        <w:tc>
          <w:tcPr>
            <w:tcW w:w="657" w:type="dxa"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ВИСНОВКИ…………………………………………………………………...</w:t>
            </w:r>
          </w:p>
        </w:tc>
        <w:tc>
          <w:tcPr>
            <w:tcW w:w="657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9161E7">
        <w:tc>
          <w:tcPr>
            <w:tcW w:w="8982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ВИКОРИСТАНИХ ДЖЕРЕЛ…………………………………….</w:t>
            </w:r>
          </w:p>
        </w:tc>
        <w:tc>
          <w:tcPr>
            <w:tcW w:w="657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581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Приблизно 1500 символів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роботи: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речення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Об'єкт дослідження: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Предмет дослідження: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 роботи: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 дослідження: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Практична значущість: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наступної сторінки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РОЗДІЛ1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РОЗДІЛУ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ПРИКЛАДИ ОФОРМЛЕННЯ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БІБЛІОГРАФІЧНОГО ОПИСУ У СПИСКУ</w:t>
      </w:r>
    </w:p>
    <w:p w:rsidR="009161E7" w:rsidRDefault="00581D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ВИКОРИСТАНИХ ДЖЕРЕЛ</w:t>
      </w:r>
    </w:p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04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8685"/>
      </w:tblGrid>
      <w:tr w:rsidR="009161E7">
        <w:tc>
          <w:tcPr>
            <w:tcW w:w="1736" w:type="dxa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Характеристика джерела</w:t>
            </w:r>
          </w:p>
        </w:tc>
        <w:tc>
          <w:tcPr>
            <w:tcW w:w="8685" w:type="dxa"/>
            <w:vAlign w:val="center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Приклад оформлення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Книги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Один автор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Коробейников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Психофизиологическая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человека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монография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Г.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Коробейников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Церковь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2008. – 138 с.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Шевченко О. О.  Функціональна анатомія серцево-судинної системи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посібник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мед.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кладів IV рівня акредитації / О. О. Шевченко. – К. : Олімпійська літ., 2008. – 184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с. 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Тхэквондо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начинающих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А. Семенова. – Ростов-на-Дону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Феникс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2005. – 128 с.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 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Мастера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искусств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J. E.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Designing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physical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curriculum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promoting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lifestyles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J. E.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Boston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McGraw-Hill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2009. – 250 p. 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Два автора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Левенець В. М.  Спортивна травматологія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посібник для студентів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заклад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ів / В. М. Левенець, Я. 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Лінько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К. : Олімпійська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літ.ература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2008. – 216 с. 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Фитзингер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шоссе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серьезных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бегунов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пер.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/ П.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Фитзингер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 Дуглас.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Мурманск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Тулома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2007. – 192 с. 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Whiting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W. C.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Biomechanics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musculosk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eletal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injury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W. C.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Whiting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R. F.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Zernicke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 – 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Champaign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Kinetics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2008. – X, 350 p.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Три автори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Таймазов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Францевич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Лесгафт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жизни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В. А.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Таймазов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Ю. Ф.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Курамшин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А. Т.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Марьянович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СПб.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Печатный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Двор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2006. – 480 с.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Жилкин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 И.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Легкая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атлетика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учебное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пособие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заведений,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ающихся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спец. 033100 -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культура / А. И.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Жилкин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В. С. Кузьмин, Е. В. Сидорчук. – 3-е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стер. – М.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Академия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2006. – 464 с. 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Бєлих М. О.  Легкоатлети України / М. О. Бєлих, П. Т.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Богачик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З. П.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К. : Здоров'я, 1971. – 184 с.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Ferrand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Routledge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handbook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sports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sponsorship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A.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Ferrand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L.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Torrigiani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A.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Camps-Povill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London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York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Routledge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2007. – 278 p. 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Чотири і більше авторів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Навчальні завдання з англійс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ької мови для самостійної роботи студентів 1 курсу (другий семестр) / Л. М. Бардіна, Л. З.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Доценко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Т. 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Мартіросова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В. Л.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Шепелюк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 ; НУФВСУ. – К., 2003. – 300 с.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Дзюдо. Система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борьба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СДЮШОР,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факультетов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институтов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техникумов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училищ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резерва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Ю. А. Шулика, Я. К.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Коблев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В. М.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Невзоров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Ю. М.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Схаляхо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ред. Ю. А. Шулика, Я.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Кобл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А. П.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Киричек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Ростов-на-Дону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Феникс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2006. – 800 с.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Дзюдо. Система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борьба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СДЮШОР,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факультетов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институтов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техникумов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училищ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резерва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Ю. А. Шулик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[и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.]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А.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Киричек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Ростов-на-Дону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Феникс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2006. – 800 с.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Україна: утвердження незалежної держави (1991-2001) / Н. П. Барановська, В. Ф.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Верстюк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 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Віднянський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[та ін.] ; ред. В. М. Литвин. – К. : Вид. дім "Альтернатив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и", 2001. – 704 с.</w:t>
            </w:r>
          </w:p>
        </w:tc>
      </w:tr>
      <w:tr w:rsidR="009161E7">
        <w:trPr>
          <w:cantSplit/>
        </w:trPr>
        <w:tc>
          <w:tcPr>
            <w:tcW w:w="1736" w:type="dxa"/>
            <w:vMerge w:val="restart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Без автора</w:t>
            </w: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редактор</w:t>
            </w: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укладач </w:t>
            </w: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переклад з вказівкою перекладача</w:t>
            </w: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переклад без вказівки перекладача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Olympic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Academy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Special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Olympic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athletes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spectators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 40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participants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August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2000). -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Athens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], 2001. – 304 р.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медицина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 пер.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/ ред. Р. Джексон.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2003. – 384 с.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Економічна соціалізація молоді: 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ціально-психологічний аспект / ред. В. В. Москаленко ; Інститут психології ім. Г. С. Костюка АПН України. – К.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центр політичного менеджменту, 2008. – 336 с. – (Бібліотека журналу "Соціальна психологія"). </w:t>
            </w:r>
          </w:p>
        </w:tc>
      </w:tr>
      <w:tr w:rsidR="009161E7">
        <w:trPr>
          <w:cantSplit/>
        </w:trPr>
        <w:tc>
          <w:tcPr>
            <w:tcW w:w="1736" w:type="dxa"/>
            <w:vMerge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в трудах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зарубеж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специалистов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хрестоматия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И. П. Волков, Н.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Цикунова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 – М. : Сов. спорт, 2005. – 286 с. 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Єдина спортивна класифікація України на 2002-2006 рр. Ч. 3. Види спорту інвалідів 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М. В. Тищенко ; Державний комітет України з питань фізичної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культури і спорту. – К. : Олімпійська літ., 2003. – 92 с.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Physical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diabetes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therapeutic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effects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mechanisms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J.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Hawley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J. 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Zierath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Champaign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Kinetics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2008. – 220 p. </w:t>
            </w:r>
          </w:p>
        </w:tc>
      </w:tr>
      <w:tr w:rsidR="009161E7">
        <w:trPr>
          <w:cantSplit/>
        </w:trPr>
        <w:tc>
          <w:tcPr>
            <w:tcW w:w="1736" w:type="dxa"/>
            <w:vMerge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Эндокринная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система, спорт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двигательная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ред. 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Кремер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А. 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Рогол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; пер.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Андреев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2008. – 600 с.</w:t>
            </w:r>
          </w:p>
        </w:tc>
      </w:tr>
      <w:tr w:rsidR="009161E7">
        <w:trPr>
          <w:cantSplit/>
          <w:trHeight w:val="655"/>
        </w:trPr>
        <w:tc>
          <w:tcPr>
            <w:tcW w:w="1736" w:type="dxa"/>
            <w:vMerge/>
          </w:tcPr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МакМенеми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электронных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услуг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руководство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публичных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библиотек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центров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МакМенеми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А.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Поултер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 – М. : Омега-Л, 2006. – 248 с.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Багатотомний документ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Теорія і методика фізичного виховання : підручник для студентів ВНЗ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виховання і спорту: в 2 т. / ред. Т.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Круцевич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; пер. з рос. Л.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Кожевнікової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К. : Олімпійська літ., 2008. – Т. 1 : Загальні основи теорії і методики фізичного виховання.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392 с.; Т. 2 : Методика фізичного виховання різних груп населення. - 368 с.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энциклопедия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 : в 2 т. Т. 1. А - Н 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В.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М.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Пресс, 2006. – 784 с.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Енциклопедія сучасної України : в тт. Т. 4. 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ред. І.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Блюміна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[та ін.] ; Ін-т енциклопедичних досліджень НАНУ. – К., 2005. – 700 с.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Матеріали конференцій, конгресів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Современный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Паралимпийский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спорт и спорт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всех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XII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науч.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конгресса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(Москва, 26-28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2008 г.) : в 3 т. Т. 1 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Российский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университет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туризма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М.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 2008. – 386 с.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Физкультурное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перспективы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Всеукр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юбилейной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науч.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участием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Симферополь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11-12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2008 г.) / ред. Ю.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Е. Ю.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Таврийский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В.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ернадского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Симферополь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2008. – 170 с.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Збірник наукових праць : у 3 ч. Ч. 3 : Теорія і методика фізичної культури та спорту: (за результатами конкурсу студентських наукових робіт 2007 року) / Сумський ДПУ ім. А. С. Макаренка. – Суми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2007. – 116 с.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Документи, що продовжуються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Молода спортивна наука України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наук. пр. з галузі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культури та спорту : періодичне видання.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12 : в 4 т. Т. 4 / Львівський ДІФК. – Львів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технології, 2008. – 262 с.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Слобожанський науко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во-спортивний вісник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наук. ст. / ХДАФК. – Х., 2008. –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3. – 196 с.;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4. – 268 с.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рос. мовами.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Педагогіка, психологія та медико-біологічні проблеми фізичного виховання і спорту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наук. пр. / 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С.С.Єрмаков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 ХДАДМ (ХХПІ). – Х., 2008. – № 7. – 186 c.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студентов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специальностей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сб. науч.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/ ред. С.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Ерм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ХХПИ.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Харьков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2008. – № 5. – 116 с. 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Законодавчі та нормативні документи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Закон України про рекламу (за станом на 25 січня 2000 р.) / Верховна Рада України. – Київ : Парламентське видавництво, 2000. – 20 с.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Про внесення змін до статті 29 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ону України "Про фізичну культуру і спорт" : закон України від 15 трав. 2007 р. № 1021-V // Відомості Верховної Ради України. – 2007. – № 34 (24 серпня). – С. 1105.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Україна. Закони. Про внесення змін до статті 29 Закону України "Про фізичну культуру і спорт" : закон України від 15 трав. 2007 р. № 1021-V // Відомості Верховної Ради України. – 2007. – № 34 (24 серпня). – С. 1105.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Авторское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Украины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сборник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мативно-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правовых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ред. В.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Ситцевой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1996. – 164 с.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Про пріоритети розвитку фізичної культури і спорту в Україні : указ Президента України від 21 липня 2008 р. № 640/2008 // Спорт. газета. – 2008. –  № 57, 25-28 липня. – С. 3.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Украї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на. Президент (2004 – Ющенко В. А.). Про пріоритети розвитку фізичної культури і спорту в Україні : указ Президента України від 21 липня 2008 р. № 640/2008 // Спорт. газета. – 2008. –  № 57, 25-28 липня. – С. 3.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Положення про Міністерство України у спра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вах сім’ї, молоді та спорту // Уряд. кур’єр. – 2005. – № 168, 7 вересня. – С. 9–12.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Стандарти 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ГОСТ 7.12-93.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Библиографическая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Сокращение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языке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правила.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1994-12-13. – М.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Госстандарт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1994. – 15 с. – (Система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стандартов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библиотечному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издательскому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Скороче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ння слів в українській мові у бібліографічному описі. Загальні правила та вимоги : ДСТУ 3582-97. – Чинний від 1998-07-01. – К. : Держстандарт України, 1998. – 24 с. – (Державний стандарт України).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Препринти 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Численные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Монте-Карло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молекулярной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динамики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изучении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свойств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жидкой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В.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Антонченко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В.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Ильин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Н.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В. Н.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Семянковский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1980. – 59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/ АН УССР,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теоретич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; ИТФ-80-86р).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Панасик М. І. Про точність визначення активності твердих радіоа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ктивних  відходів гамма-методами / М. І. Панасик, А.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Скорбун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Б.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Сплошной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Чорнобиль, 2006. – 7 с. – (Препринт / НАН України, Ін-т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Безпеки АЕС ; 06-1)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Депоновані наукові праці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Луцкив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систем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печатной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машины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компенсаторами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натяжения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длины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Н.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Луцкив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И.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Волощак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1985. –  10 с.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в ВИНИТИ 25.0685, № 4507.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Бесконтрольный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пневматический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вязкости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жидкостей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Н. М.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Мордасов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Н.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Козодаева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.]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ун-т. – Тамбов, 2005.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в ВИНИТИ 31.10.05, № 1394-В2005.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Патенти 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Пат. 2187888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Федерация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МКП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 04 В 1/38, Н 04 J13/00.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Приемопередающее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В.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Чугаева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заявитель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патентообладатель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Воронеж. науч.-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исслед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- № 200013/736/09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заявл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18.12.00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опубл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20.08.02,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№ 23 (II ч.).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4444035 USA, IC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21 В 31/08.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Steel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rolling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Hatanaka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Uemura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24.04.84.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Пат. 4444035 США, МКИ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21 В 31/08.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Steel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rolling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Hatanaka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Uemura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Опубл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24.04.84.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Авторські свідоцтва</w:t>
            </w:r>
          </w:p>
        </w:tc>
        <w:tc>
          <w:tcPr>
            <w:tcW w:w="8685" w:type="dxa"/>
          </w:tcPr>
          <w:p w:rsidR="009161E7" w:rsidRDefault="00581D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А. с. 1221043 СССР, МКИ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63 27/14.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Аппарельное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судна / О. И.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Киселев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- № 3792386/27-11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заявл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12.07.84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опубл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30.03.86,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№ 12. – 2 с.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Звіт про НДР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Акустические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работающих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полях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излучений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оптимизация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параметров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акустоэмиссионных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систем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НИР : Тема № 81-1-18А / рук.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 М. Баранов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.: Т.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М. : МИФИ, 1982. – 22 с.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Дослідження стійкості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розробка рекомендацій за параметрами бортів кар’єру Південного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ГЗКа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 звіт про НДР (заключ.)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Держ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мале підприємство з маркшейдер.,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гідротех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досліджень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«МЕГГІ» ; керівник роботи Б. 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Воскобойников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З. 12-3-А-97-91-3;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Інв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№ 810. – Кривий Рі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г, 1992. – 244 с.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Бібліографічний покажчики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 С. Бібліографічний покажчик та анотації кандидатських дисертацій, захищених у спеціалізованій вченій раді Львівського державного інституту фізичної культури у 2006 році : спец. 24.00.01, 24.00.02, 24.0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0.03 / О. С.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О. С.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Вацеба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 ; ЛДІФК. – Львів : Українські технології, 2007. – 76 с. 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Белавенцева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Н. Путь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указатель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/ Г. Н.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Белавенцева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библиотека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СССР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В. И. Ленина. – М. : Книга, 1972. – 30 с.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Дисертац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ії 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Улізько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 М. Оцінка функціонального стану кваліфікованих спортсменок, які спеціалізуються з настільного тенісу в річному циклі підготовки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наук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виховання і спорту : 24.00.01 / Віра Михайлівна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Улізько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; Львівський ДУФК. – Київ,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2008. – 206 с. 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Кашуба В. А.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Биодинамика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осанки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школьников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процессе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... д-ра наук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спорту : 24.00.02 / В. А. Кашуба ; НУФВСУ.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2003. – 436 с.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Автореферати дисертацій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Андреев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Организационно-педагогические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аспекты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мини-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футбола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Федерации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автореф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пед. наук : 13.00.04 / Олег Семенович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Андреев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ГАФК.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2009. – 28 с.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Байрачний О. В. Психологічні показн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ики у визначенні спортивного амплуа футболістів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автореф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наук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виховання і спорту : 24.00.01 / О. В. Байрачний ; НУФВСУ. – К., 2009. – 20 с.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Частина документа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Стаття із матеріалів конференцій, конгресів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Характеристика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процессов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регулирования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спортсменов-юношей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циклических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движениях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П. И.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Гуменер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А. К.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Зыков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В. А.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Левандо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.] // 13-я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Всесоюзная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биохимической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характеристике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циклических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тезисы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докладов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Таллинн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1974. – С. 70–71.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Лисицкая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 С.  Метод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Пилатеса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влияние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психоэмоциональное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состояние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женщин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среднего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возраста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Т. С.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Лисицкая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О. 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 А.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Кувшинникова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Современный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Паралимпийский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спорт и спорт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всех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XII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конгресса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(26-28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2008 г., Москва) 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Российский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университет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туризма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 – Москва, 2008. – Т. 1. – С. 290–291.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Лисицкая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 С.  Метод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Пилатеса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влияние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психоэмоциональное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состояние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женщин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среднего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возраста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Т. С.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Лисицкая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О. 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 А.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Кувшинникова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Современный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Паралимпийский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спорт и спорт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всех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XII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науч.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конгресса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 – М., 2008. – Т. 1. – С. 290–291.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Шинкарук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 А. Забезпечення тренерськими кадрами в системі дитячо-юнацького спорту / О. А.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Шинкарук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 Олімпійський спорт і спорт для всіх :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міжнар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наук. конгрес, присвячується 75-річчю НУФВСУ: тези доповідей. – К., 2005. – С. 491.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Стаття із збірника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Шейпінг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-програма для урочних занять з фізичного виховання студенток / 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 Педагогіка, психологія та медико-біологічні проблеми фізичного виховання і спорту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наук. пр. – Х., 2006. – № 7. – С. 19–123.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Сіренко Р. До питання оптимі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зації теоретичної підготовки студентів на заняттях з фізичного виховання у вищих навчальних закладах / Р. Сіренко, Ю.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Стельникович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 Молода спортивна наука України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наук. пр. з галузі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культури та спорту. – Львів, 2005.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9 : у 4 т. ; т. 3.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С. 86–89.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Платонов А. К.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положения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локомоционного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пространстве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А. К. Платонов, В. Е.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Павловский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Биомеханика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патогенез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травм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ортопедических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деформаций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Рижского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травматологии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опедии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 – Рига, 1975.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ХIII. – С. 599–604.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Лопухин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диссертационных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(1940 - 1980 гг.) / В. 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Лопухин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ежегодник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М., 1982.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1. – С. 45–48.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Стаття із журналу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Вавілова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 Л. Моделювання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інсулін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орезистентності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 комплексу супутніх метаболічних порушень за допомогою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дексаметазону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Л. Л.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Вавілова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Т. А. Крячок, Т. 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Талаєва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 Фізіологічний журнал. – 2009. – Т. 55, № 3. – С. 75–80.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Шкребтий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построения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микроциклов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многоразовых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занятиях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дня / Ю.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Шкребтий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 Наука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Олимпийском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спорте. – 2001. – № 1. – С. 33–42.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Футбол плюс легка атлетика : [про майбутню долю НСК "Олімпійський"] // Олімпійська арена. – 2009. – № 9. – С. 20.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Androgenic-anabolic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steroid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effects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thyroid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pituitary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hormones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athletes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Rahkila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Reinila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.] 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Sports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1987. – V. 5, № 4. – Р. 357–361. 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Стаття із газети</w:t>
            </w:r>
          </w:p>
        </w:tc>
        <w:tc>
          <w:tcPr>
            <w:tcW w:w="8685" w:type="dxa"/>
          </w:tcPr>
          <w:p w:rsidR="009161E7" w:rsidRDefault="00581DD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Вакарчук І. Вища освіта України - європейський вимір: стан, проблеми, перспективи : доповідь міністра освіти і науки на підсумковій колегії МОН України (21 березня 2008 року, м. Київ) / І. Вакарчук // Освіта. – 2008. – № 13/14, 19-26 березня. – С. 4–7.</w:t>
            </w: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Владимирова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Выбирая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тренера, не дайте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себя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запутать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! :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фитнесом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] / А. Владимирова,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 Сов. спорт. – 2002. – 7 дек. – С. 16.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Дубогай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 Д. Щоденник здоров’я [школяра] / О.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Дубогай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 Валеологія. – 1999. - № 7, квітень.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– С. 2–6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 № 8, квітень. – С. 13–14.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Інтерв’ю 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Бубка С. Копенгаген: олімпійські зустрічі : [інтерв'ю з президентом НОК України С. Бубкою про роботу 121 сесії МОК  і 13 Олімпійського конгресу "Олімпійський рух і суспільство"] / Сергій Бубка ; інтерв'ю вела Г. Нечаєва // Олімпійська арена. – 2009. –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10. – С. 2–4.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Платонов В.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Выпускник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должен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маяться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поисках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: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интервью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ректором НУФВСУ В.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Платоновым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] / В. Платонов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провел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 Фельдман // Команда. – 1999. – 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С. 12.</w:t>
            </w: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Глава, розділ, параграф із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книги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спец.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 в 2 т. / ред. Т.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Круцевич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2003. – Т.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2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возраста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Є.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Т.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Круцевич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С. 21–76. 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возраста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Є.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Вильчковский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Т.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Круцевич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спец.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 в 2 т. / ред. Т.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Круцевич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Олимпийская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 – Т.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2. - С. 21–76.</w:t>
            </w:r>
          </w:p>
          <w:p w:rsidR="009161E7" w:rsidRDefault="00581DD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Григор'єв В. Й. Філософія : навчальний посібник для студентів вищих навчальних закладів / В. Й. Григор'єв ; Київський економічний інститут менеджменту. – Київ : Центр навчальної літератури, 2004. – Розділ 10 : Українська філос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офія. – С. 138–158.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Українська філософія // Григор'єв В. Й. Філософія : навчальний посібник для студентів вищих навчальних закладів / В. Й. Григор'єв ; Київський економічний інститут менеджменту. – Київ : Центр навчальної літератури, 2004. – С. 138–158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Електронні ресурси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Локальні </w:t>
            </w: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Литвин В. Україна 2004: Події. Документи. Факти / В. Литвин ; вступ. стаття,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упоряд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В. Литвина;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А. Ямковий ; програмування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Грінберг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[Б. м.], 2005. – 1 CD.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вимоги: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233 Мг; Windows 9x/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/NT/2000/XP; 64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RAM; 800x600,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біт. 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Хрипач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Эффективный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бодибилдинг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 Г. Н.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Хрипач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Санкт-Петербург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2007. – 1 DVD 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видеокурсом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 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Красивое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). </w:t>
            </w:r>
          </w:p>
        </w:tc>
      </w:tr>
      <w:tr w:rsidR="009161E7">
        <w:tc>
          <w:tcPr>
            <w:tcW w:w="1736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Віддаленого доступу</w:t>
            </w:r>
          </w:p>
          <w:p w:rsidR="009161E7" w:rsidRDefault="0091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5" w:type="dxa"/>
          </w:tcPr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Статут Федерації Волейболу України // Федерація Волейболу України. – Режим доступу: </w:t>
            </w:r>
            <w:hyperlink r:id="rId7">
              <w:r>
                <w:rPr>
                  <w:color w:val="000080"/>
                  <w:u w:val="single"/>
                </w:rPr>
                <w:t>www.ufg.org.ua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>. – 21.05.2009.</w:t>
            </w:r>
          </w:p>
          <w:p w:rsidR="009161E7" w:rsidRDefault="0058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Осипов А. Ю.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состояния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спортсменов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контроля ЭКГ / А. Ю. Осипов //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практика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– 2007. – № 7. – С. 46-48. – Режим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доступа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журналу: http: //www.infosport.ru/press/tpfk.</w:t>
            </w:r>
          </w:p>
        </w:tc>
      </w:tr>
    </w:tbl>
    <w:p w:rsidR="009161E7" w:rsidRDefault="00916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8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161E7">
      <w:footerReference w:type="even" r:id="rId8"/>
      <w:footerReference w:type="default" r:id="rId9"/>
      <w:pgSz w:w="11906" w:h="16838"/>
      <w:pgMar w:top="851" w:right="567" w:bottom="851" w:left="1134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DB" w:rsidRDefault="00581DDB">
      <w:r>
        <w:separator/>
      </w:r>
    </w:p>
  </w:endnote>
  <w:endnote w:type="continuationSeparator" w:id="0">
    <w:p w:rsidR="00581DDB" w:rsidRDefault="0058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E7" w:rsidRDefault="00581DDB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01050">
      <w:rPr>
        <w:color w:val="000000"/>
      </w:rPr>
      <w:fldChar w:fldCharType="separate"/>
    </w:r>
    <w:r w:rsidR="0071064F">
      <w:rPr>
        <w:noProof/>
        <w:color w:val="000000"/>
      </w:rPr>
      <w:t>4</w:t>
    </w:r>
    <w:r>
      <w:rPr>
        <w:color w:val="000000"/>
      </w:rPr>
      <w:fldChar w:fldCharType="end"/>
    </w:r>
  </w:p>
  <w:p w:rsidR="009161E7" w:rsidRDefault="009161E7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E7" w:rsidRDefault="00581DDB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A01050">
      <w:rPr>
        <w:rFonts w:ascii="Times New Roman" w:eastAsia="Times New Roman" w:hAnsi="Times New Roman" w:cs="Times New Roman"/>
        <w:color w:val="000000"/>
      </w:rPr>
      <w:fldChar w:fldCharType="separate"/>
    </w:r>
    <w:r w:rsidR="0071064F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9161E7" w:rsidRDefault="009161E7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DB" w:rsidRDefault="00581DDB">
      <w:r>
        <w:separator/>
      </w:r>
    </w:p>
  </w:footnote>
  <w:footnote w:type="continuationSeparator" w:id="0">
    <w:p w:rsidR="00581DDB" w:rsidRDefault="0058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2485"/>
    <w:multiLevelType w:val="multilevel"/>
    <w:tmpl w:val="62BE8862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DF727C"/>
    <w:multiLevelType w:val="multilevel"/>
    <w:tmpl w:val="B89AA2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50313CA"/>
    <w:multiLevelType w:val="multilevel"/>
    <w:tmpl w:val="9C7856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B064FE6"/>
    <w:multiLevelType w:val="multilevel"/>
    <w:tmpl w:val="EF6498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50A34A6F"/>
    <w:multiLevelType w:val="multilevel"/>
    <w:tmpl w:val="B1C0B78C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" w15:restartNumberingAfterBreak="0">
    <w:nsid w:val="50A475BD"/>
    <w:multiLevelType w:val="multilevel"/>
    <w:tmpl w:val="3036169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568570F3"/>
    <w:multiLevelType w:val="multilevel"/>
    <w:tmpl w:val="BAE8F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639060F1"/>
    <w:multiLevelType w:val="multilevel"/>
    <w:tmpl w:val="A3EC34D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vertAlign w:val="baseline"/>
      </w:rPr>
    </w:lvl>
  </w:abstractNum>
  <w:abstractNum w:abstractNumId="8" w15:restartNumberingAfterBreak="0">
    <w:nsid w:val="64573B18"/>
    <w:multiLevelType w:val="multilevel"/>
    <w:tmpl w:val="74F099A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6D8A1202"/>
    <w:multiLevelType w:val="multilevel"/>
    <w:tmpl w:val="052475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B3F71EC"/>
    <w:multiLevelType w:val="multilevel"/>
    <w:tmpl w:val="767CF3C2"/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BA36454"/>
    <w:multiLevelType w:val="multilevel"/>
    <w:tmpl w:val="58AC30F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E7"/>
    <w:rsid w:val="00581DDB"/>
    <w:rsid w:val="0071064F"/>
    <w:rsid w:val="009161E7"/>
    <w:rsid w:val="00A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88B3"/>
  <w15:docId w15:val="{53326EB6-810E-47AB-BC9C-3231652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unhideWhenUsed/>
    <w:qFormat/>
    <w:rsid w:val="0071064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fg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8553</Words>
  <Characters>48757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4</cp:revision>
  <dcterms:created xsi:type="dcterms:W3CDTF">2022-11-08T12:22:00Z</dcterms:created>
  <dcterms:modified xsi:type="dcterms:W3CDTF">2022-11-08T12:24:00Z</dcterms:modified>
</cp:coreProperties>
</file>