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9A" w:rsidRPr="008D1F9E" w:rsidRDefault="009A009A" w:rsidP="00FD1862">
      <w:pPr>
        <w:autoSpaceDE w:val="0"/>
        <w:autoSpaceDN w:val="0"/>
        <w:adjustRightInd w:val="0"/>
        <w:spacing w:after="0" w:line="240" w:lineRule="auto"/>
        <w:rPr>
          <w:b/>
          <w:iCs/>
          <w:color w:val="auto"/>
          <w:kern w:val="0"/>
          <w:sz w:val="24"/>
          <w:szCs w:val="24"/>
          <w:lang w:eastAsia="ru-RU"/>
        </w:rPr>
      </w:pPr>
      <w:r w:rsidRPr="008D1F9E">
        <w:rPr>
          <w:b/>
          <w:iCs/>
          <w:color w:val="auto"/>
          <w:kern w:val="0"/>
          <w:sz w:val="24"/>
          <w:szCs w:val="24"/>
          <w:lang w:eastAsia="ru-RU"/>
        </w:rPr>
        <w:t>ЗАСТОСУВАННЯ ЦИФРОВИХ СЕРВІСІВ</w:t>
      </w:r>
      <w:r>
        <w:rPr>
          <w:b/>
          <w:iCs/>
          <w:color w:val="auto"/>
          <w:kern w:val="0"/>
          <w:sz w:val="24"/>
          <w:szCs w:val="24"/>
          <w:lang w:eastAsia="ru-RU"/>
        </w:rPr>
        <w:t xml:space="preserve"> В ПРАКТИЦІ БІЗНЕС-КОМІНІКАЦІЙ</w:t>
      </w:r>
    </w:p>
    <w:p w:rsidR="009A009A" w:rsidRPr="008D1F9E" w:rsidRDefault="009A009A" w:rsidP="00FD1862">
      <w:pPr>
        <w:autoSpaceDE w:val="0"/>
        <w:autoSpaceDN w:val="0"/>
        <w:adjustRightInd w:val="0"/>
        <w:spacing w:after="0" w:line="240" w:lineRule="auto"/>
        <w:rPr>
          <w:b/>
          <w:iCs/>
          <w:color w:val="auto"/>
          <w:kern w:val="0"/>
          <w:sz w:val="24"/>
          <w:szCs w:val="24"/>
          <w:lang w:eastAsia="ru-RU"/>
        </w:rPr>
      </w:pPr>
    </w:p>
    <w:p w:rsidR="009A009A" w:rsidRPr="008D1F9E" w:rsidRDefault="009A009A" w:rsidP="00FD1862">
      <w:pPr>
        <w:autoSpaceDE w:val="0"/>
        <w:autoSpaceDN w:val="0"/>
        <w:adjustRightInd w:val="0"/>
        <w:spacing w:after="0" w:line="240" w:lineRule="auto"/>
        <w:rPr>
          <w:b/>
          <w:iCs/>
          <w:color w:val="auto"/>
          <w:kern w:val="0"/>
          <w:sz w:val="24"/>
          <w:szCs w:val="24"/>
          <w:lang w:eastAsia="ru-RU"/>
        </w:rPr>
      </w:pPr>
      <w:r w:rsidRPr="008D1F9E">
        <w:rPr>
          <w:b/>
          <w:iCs/>
          <w:color w:val="auto"/>
          <w:kern w:val="0"/>
          <w:sz w:val="24"/>
          <w:szCs w:val="24"/>
          <w:lang w:eastAsia="ru-RU"/>
        </w:rPr>
        <w:t>APPLICATION OF DIGITAL SERVICES IN THE PRACTICE OF BUSINESS COMMUNICATIONS.</w:t>
      </w:r>
    </w:p>
    <w:p w:rsidR="009A009A" w:rsidRPr="008D1F9E" w:rsidRDefault="009A009A" w:rsidP="00FD1862">
      <w:pPr>
        <w:spacing w:after="0" w:line="240" w:lineRule="auto"/>
        <w:ind w:firstLine="720"/>
        <w:rPr>
          <w:color w:val="auto"/>
          <w:kern w:val="0"/>
          <w:sz w:val="24"/>
          <w:szCs w:val="24"/>
        </w:rPr>
      </w:pPr>
      <w:r w:rsidRPr="008D1F9E">
        <w:rPr>
          <w:kern w:val="0"/>
          <w:sz w:val="24"/>
          <w:szCs w:val="24"/>
          <w:lang w:val="ru-RU" w:eastAsia="ru-RU"/>
        </w:rPr>
        <w:t>Нау</w:t>
      </w:r>
      <w:r w:rsidRPr="008D1F9E">
        <w:rPr>
          <w:kern w:val="0"/>
          <w:sz w:val="24"/>
          <w:szCs w:val="24"/>
          <w:shd w:val="clear" w:color="auto" w:fill="FFFFFF"/>
          <w:lang w:val="ru-RU" w:eastAsia="ru-RU"/>
        </w:rPr>
        <w:t xml:space="preserve">ковий керівник: </w:t>
      </w:r>
      <w:r w:rsidRPr="008D1F9E">
        <w:rPr>
          <w:kern w:val="0"/>
          <w:sz w:val="24"/>
          <w:szCs w:val="24"/>
          <w:shd w:val="clear" w:color="auto" w:fill="FFFFFF"/>
          <w:lang w:eastAsia="ru-RU"/>
        </w:rPr>
        <w:t>докт</w:t>
      </w:r>
      <w:r>
        <w:rPr>
          <w:kern w:val="0"/>
          <w:sz w:val="24"/>
          <w:szCs w:val="24"/>
          <w:shd w:val="clear" w:color="auto" w:fill="FFFFFF"/>
          <w:lang w:eastAsia="ru-RU"/>
        </w:rPr>
        <w:t>ор</w:t>
      </w:r>
      <w:r w:rsidRPr="008D1F9E">
        <w:rPr>
          <w:kern w:val="0"/>
          <w:sz w:val="24"/>
          <w:szCs w:val="24"/>
          <w:shd w:val="clear" w:color="auto" w:fill="FFFFFF"/>
          <w:lang w:eastAsia="ru-RU"/>
        </w:rPr>
        <w:t xml:space="preserve"> філософії</w:t>
      </w:r>
      <w:r w:rsidRPr="008D1F9E">
        <w:rPr>
          <w:kern w:val="0"/>
          <w:sz w:val="24"/>
          <w:szCs w:val="24"/>
          <w:shd w:val="clear" w:color="auto" w:fill="FFFFFF"/>
          <w:lang w:val="ru-RU" w:eastAsia="ru-RU"/>
        </w:rPr>
        <w:t xml:space="preserve">, </w:t>
      </w:r>
      <w:r w:rsidRPr="008D1F9E">
        <w:rPr>
          <w:color w:val="auto"/>
          <w:kern w:val="0"/>
          <w:sz w:val="24"/>
          <w:szCs w:val="24"/>
        </w:rPr>
        <w:t>старший викладач кафедри менеджменту, фінансів і бізнес-технологій</w:t>
      </w:r>
    </w:p>
    <w:p w:rsidR="009A009A" w:rsidRPr="008D1F9E" w:rsidRDefault="009A009A" w:rsidP="00AF5203">
      <w:pPr>
        <w:spacing w:after="0" w:line="240" w:lineRule="auto"/>
        <w:rPr>
          <w:color w:val="auto"/>
          <w:kern w:val="0"/>
          <w:sz w:val="24"/>
          <w:szCs w:val="24"/>
          <w:lang w:eastAsia="ru-RU"/>
        </w:rPr>
      </w:pPr>
      <w:r w:rsidRPr="008D1F9E">
        <w:rPr>
          <w:kern w:val="0"/>
          <w:sz w:val="24"/>
          <w:szCs w:val="24"/>
          <w:shd w:val="clear" w:color="auto" w:fill="FFFFFF"/>
          <w:lang w:eastAsia="ru-RU"/>
        </w:rPr>
        <w:t xml:space="preserve">Комаровський Іван Вікторович </w:t>
      </w:r>
    </w:p>
    <w:p w:rsidR="009A009A" w:rsidRPr="008D1F9E" w:rsidRDefault="009A009A" w:rsidP="00FD1862">
      <w:pPr>
        <w:spacing w:after="0" w:line="240" w:lineRule="auto"/>
        <w:ind w:firstLine="720"/>
        <w:rPr>
          <w:color w:val="auto"/>
          <w:kern w:val="0"/>
          <w:sz w:val="24"/>
          <w:szCs w:val="24"/>
          <w:lang w:eastAsia="ru-RU"/>
        </w:rPr>
      </w:pPr>
      <w:r w:rsidRPr="008D1F9E">
        <w:rPr>
          <w:kern w:val="0"/>
          <w:sz w:val="24"/>
          <w:szCs w:val="24"/>
          <w:shd w:val="clear" w:color="auto" w:fill="FFFFFF"/>
          <w:lang w:eastAsia="ru-RU"/>
        </w:rPr>
        <w:t xml:space="preserve">Здобувач бакалавріату </w:t>
      </w:r>
      <w:bookmarkStart w:id="0" w:name="_GoBack"/>
      <w:r w:rsidRPr="008D1F9E">
        <w:rPr>
          <w:kern w:val="0"/>
          <w:sz w:val="24"/>
          <w:szCs w:val="24"/>
          <w:shd w:val="clear" w:color="auto" w:fill="FFFFFF"/>
          <w:lang w:eastAsia="ru-RU"/>
        </w:rPr>
        <w:t>Гільєвич Єлизавети Романівни</w:t>
      </w:r>
      <w:bookmarkEnd w:id="0"/>
    </w:p>
    <w:p w:rsidR="009A009A" w:rsidRDefault="009A009A" w:rsidP="00FD1862">
      <w:pPr>
        <w:spacing w:after="0" w:line="240" w:lineRule="auto"/>
        <w:rPr>
          <w:kern w:val="0"/>
          <w:sz w:val="24"/>
          <w:szCs w:val="24"/>
          <w:lang w:val="en-US" w:eastAsia="ru-RU"/>
        </w:rPr>
      </w:pPr>
      <w:r w:rsidRPr="008D1F9E">
        <w:rPr>
          <w:color w:val="202124"/>
          <w:kern w:val="0"/>
          <w:sz w:val="24"/>
          <w:szCs w:val="24"/>
          <w:shd w:val="clear" w:color="auto" w:fill="FFFFFF"/>
          <w:lang w:val="en-US" w:eastAsia="ru-RU"/>
        </w:rPr>
        <w:t xml:space="preserve">Supervisor: </w:t>
      </w:r>
      <w:r w:rsidRPr="008D1F9E">
        <w:rPr>
          <w:kern w:val="0"/>
          <w:sz w:val="24"/>
          <w:szCs w:val="24"/>
          <w:lang w:val="en-US" w:eastAsia="ru-RU"/>
        </w:rPr>
        <w:t xml:space="preserve">PhD, senior lecturer </w:t>
      </w:r>
    </w:p>
    <w:p w:rsidR="009A009A" w:rsidRPr="008D1F9E" w:rsidRDefault="009A009A" w:rsidP="00FD1862">
      <w:pPr>
        <w:spacing w:after="0" w:line="240" w:lineRule="auto"/>
        <w:rPr>
          <w:kern w:val="0"/>
          <w:sz w:val="24"/>
          <w:szCs w:val="24"/>
          <w:lang w:val="en-US" w:eastAsia="ru-RU"/>
        </w:rPr>
      </w:pPr>
      <w:r w:rsidRPr="008D1F9E">
        <w:rPr>
          <w:kern w:val="0"/>
          <w:sz w:val="24"/>
          <w:szCs w:val="24"/>
          <w:lang w:val="en-US" w:eastAsia="ru-RU"/>
        </w:rPr>
        <w:t xml:space="preserve">of the </w:t>
      </w:r>
      <w:r w:rsidRPr="00CC3CFA">
        <w:rPr>
          <w:color w:val="auto"/>
          <w:kern w:val="0"/>
          <w:sz w:val="24"/>
          <w:szCs w:val="24"/>
          <w:lang w:val="en-US"/>
        </w:rPr>
        <w:t>Department of Management, Finance and Business Technologies</w:t>
      </w:r>
    </w:p>
    <w:p w:rsidR="009A009A" w:rsidRDefault="009A009A" w:rsidP="00FD1862">
      <w:pPr>
        <w:spacing w:after="0" w:line="240" w:lineRule="auto"/>
        <w:rPr>
          <w:color w:val="auto"/>
          <w:kern w:val="0"/>
          <w:sz w:val="24"/>
          <w:szCs w:val="24"/>
        </w:rPr>
      </w:pPr>
      <w:r w:rsidRPr="008D1F9E">
        <w:rPr>
          <w:color w:val="auto"/>
          <w:kern w:val="0"/>
          <w:sz w:val="24"/>
          <w:szCs w:val="24"/>
        </w:rPr>
        <w:t>KomarovskyiIvan</w:t>
      </w:r>
    </w:p>
    <w:p w:rsidR="009A009A" w:rsidRPr="008D1F9E" w:rsidRDefault="009A009A" w:rsidP="00FD1862">
      <w:pPr>
        <w:spacing w:after="0" w:line="240" w:lineRule="auto"/>
        <w:rPr>
          <w:color w:val="auto"/>
          <w:kern w:val="0"/>
          <w:sz w:val="24"/>
          <w:szCs w:val="24"/>
        </w:rPr>
      </w:pPr>
    </w:p>
    <w:p w:rsidR="009A009A" w:rsidRPr="008D1F9E" w:rsidRDefault="009A009A" w:rsidP="00FD1862">
      <w:pPr>
        <w:spacing w:after="0" w:line="240" w:lineRule="auto"/>
        <w:rPr>
          <w:color w:val="auto"/>
          <w:kern w:val="0"/>
          <w:sz w:val="24"/>
          <w:szCs w:val="24"/>
          <w:lang w:val="en-US" w:eastAsia="ru-RU"/>
        </w:rPr>
      </w:pPr>
      <w:r w:rsidRPr="008D1F9E">
        <w:rPr>
          <w:kern w:val="0"/>
          <w:sz w:val="24"/>
          <w:szCs w:val="24"/>
          <w:shd w:val="clear" w:color="auto" w:fill="FFFFFF"/>
          <w:lang w:val="en-US" w:eastAsia="ru-RU"/>
        </w:rPr>
        <w:t xml:space="preserve">Bachelor </w:t>
      </w:r>
      <w:r w:rsidRPr="00371254">
        <w:rPr>
          <w:kern w:val="0"/>
          <w:sz w:val="24"/>
          <w:szCs w:val="24"/>
          <w:shd w:val="clear" w:color="auto" w:fill="FFFFFF"/>
          <w:lang w:eastAsia="ru-RU"/>
        </w:rPr>
        <w:t>Hilievych Yelyzaveta</w:t>
      </w:r>
    </w:p>
    <w:p w:rsidR="009A009A" w:rsidRPr="008D1F9E" w:rsidRDefault="009A009A" w:rsidP="00FD1862">
      <w:pPr>
        <w:spacing w:after="0" w:line="240" w:lineRule="auto"/>
        <w:ind w:firstLine="709"/>
        <w:rPr>
          <w:color w:val="auto"/>
          <w:kern w:val="0"/>
          <w:sz w:val="24"/>
          <w:szCs w:val="24"/>
          <w:lang w:eastAsia="ru-RU"/>
        </w:rPr>
      </w:pPr>
    </w:p>
    <w:p w:rsidR="009A009A" w:rsidRPr="008D1F9E" w:rsidRDefault="009A009A" w:rsidP="00FD1862">
      <w:pPr>
        <w:spacing w:after="0" w:line="240" w:lineRule="auto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b/>
          <w:bCs/>
          <w:kern w:val="0"/>
          <w:sz w:val="24"/>
          <w:szCs w:val="24"/>
          <w:lang w:val="ru-RU" w:eastAsia="ru-RU"/>
        </w:rPr>
        <w:t>Анотація</w:t>
      </w:r>
      <w:r w:rsidRPr="00A80265">
        <w:rPr>
          <w:b/>
          <w:bCs/>
          <w:kern w:val="0"/>
          <w:sz w:val="24"/>
          <w:szCs w:val="24"/>
          <w:lang w:val="ru-RU" w:eastAsia="ru-RU"/>
        </w:rPr>
        <w:t>:</w:t>
      </w:r>
      <w:r>
        <w:rPr>
          <w:b/>
          <w:bCs/>
          <w:kern w:val="0"/>
          <w:sz w:val="24"/>
          <w:szCs w:val="24"/>
          <w:lang w:val="ru-RU" w:eastAsia="ru-RU"/>
        </w:rPr>
        <w:t xml:space="preserve"> </w:t>
      </w:r>
      <w:r w:rsidRPr="008D1F9E">
        <w:rPr>
          <w:color w:val="auto"/>
          <w:kern w:val="0"/>
          <w:sz w:val="24"/>
          <w:szCs w:val="24"/>
          <w:lang w:eastAsia="ru-RU"/>
        </w:rPr>
        <w:t xml:space="preserve">Можливим напрямом удосконалення практики бізнес-комунікацій є використання е-сервісів. Прийнято, що першим кроком в цьому напряму має стати розробка відповідної моделі </w:t>
      </w:r>
      <w:r w:rsidRPr="008D1F9E">
        <w:rPr>
          <w:rFonts w:eastAsia="TimesNewRoman"/>
          <w:iCs/>
          <w:color w:val="auto"/>
          <w:kern w:val="0"/>
          <w:sz w:val="24"/>
          <w:szCs w:val="24"/>
          <w:lang w:eastAsia="uk-UA"/>
        </w:rPr>
        <w:t xml:space="preserve">е-сервісу. Дановизначення основних складових моделі. Приведені  рекомендації щодо розробки архітектури е-сервісу. Відповідно до викладеного, запропоновані основні кроки з розробки </w:t>
      </w:r>
      <w:r w:rsidRPr="008D1F9E">
        <w:rPr>
          <w:color w:val="auto"/>
          <w:kern w:val="0"/>
          <w:sz w:val="24"/>
          <w:szCs w:val="24"/>
          <w:lang w:eastAsia="ru-RU"/>
        </w:rPr>
        <w:t>м</w:t>
      </w:r>
      <w:r w:rsidRPr="008D1F9E">
        <w:rPr>
          <w:iCs/>
          <w:color w:val="auto"/>
          <w:kern w:val="0"/>
          <w:sz w:val="24"/>
          <w:szCs w:val="24"/>
          <w:lang w:eastAsia="ru-RU"/>
        </w:rPr>
        <w:t xml:space="preserve">оделі </w:t>
      </w:r>
      <w:r w:rsidRPr="008D1F9E">
        <w:rPr>
          <w:color w:val="auto"/>
          <w:kern w:val="0"/>
          <w:sz w:val="24"/>
          <w:szCs w:val="24"/>
          <w:lang w:eastAsia="ru-RU"/>
        </w:rPr>
        <w:t>е-сервісів</w:t>
      </w:r>
      <w:r w:rsidRPr="008D1F9E">
        <w:rPr>
          <w:iCs/>
          <w:color w:val="auto"/>
          <w:kern w:val="0"/>
          <w:sz w:val="24"/>
          <w:szCs w:val="24"/>
          <w:lang w:eastAsia="ru-RU"/>
        </w:rPr>
        <w:t xml:space="preserve"> для підтримки бізнес-комунікацій. В якості базового підходу </w:t>
      </w:r>
      <w:r w:rsidRPr="008D1F9E">
        <w:rPr>
          <w:color w:val="auto"/>
          <w:kern w:val="0"/>
          <w:sz w:val="24"/>
          <w:szCs w:val="24"/>
          <w:lang w:eastAsia="ru-RU"/>
        </w:rPr>
        <w:t>доналагодження бізнес-комунікацій  на основі е-сервісів є сенсзапропоновано використовувати концепцію сервіс – орієнтованої               архітектури інформаційних систем.</w:t>
      </w:r>
    </w:p>
    <w:p w:rsidR="009A009A" w:rsidRPr="008D1F9E" w:rsidRDefault="009A009A" w:rsidP="00FD1862">
      <w:pPr>
        <w:spacing w:after="0" w:line="240" w:lineRule="auto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b/>
          <w:bCs/>
          <w:kern w:val="0"/>
          <w:sz w:val="24"/>
          <w:szCs w:val="24"/>
          <w:lang w:val="ru-RU" w:eastAsia="ru-RU"/>
        </w:rPr>
        <w:t>Ключові слова</w:t>
      </w:r>
      <w:r w:rsidRPr="008D1F9E">
        <w:rPr>
          <w:b/>
          <w:bCs/>
          <w:kern w:val="0"/>
          <w:sz w:val="24"/>
          <w:szCs w:val="24"/>
          <w:lang w:eastAsia="ru-RU"/>
        </w:rPr>
        <w:t xml:space="preserve">: </w:t>
      </w:r>
      <w:r w:rsidRPr="008D1F9E">
        <w:rPr>
          <w:kern w:val="0"/>
          <w:sz w:val="24"/>
          <w:szCs w:val="24"/>
          <w:lang w:eastAsia="ru-RU"/>
        </w:rPr>
        <w:t xml:space="preserve">бізнес-комунікації; е-сервіси; модель е-сервісів; </w:t>
      </w:r>
      <w:r w:rsidRPr="008D1F9E">
        <w:rPr>
          <w:color w:val="auto"/>
          <w:kern w:val="0"/>
          <w:sz w:val="24"/>
          <w:szCs w:val="24"/>
          <w:lang w:eastAsia="ru-RU"/>
        </w:rPr>
        <w:t>стандарти XML на дані</w:t>
      </w:r>
    </w:p>
    <w:p w:rsidR="009A009A" w:rsidRPr="008D1F9E" w:rsidRDefault="009A009A" w:rsidP="00FD1862">
      <w:pPr>
        <w:spacing w:after="0" w:line="240" w:lineRule="auto"/>
        <w:jc w:val="both"/>
        <w:rPr>
          <w:color w:val="auto"/>
          <w:kern w:val="0"/>
          <w:sz w:val="24"/>
          <w:szCs w:val="24"/>
          <w:lang w:val="en-US" w:eastAsia="ru-RU"/>
        </w:rPr>
      </w:pPr>
      <w:r w:rsidRPr="008D1F9E">
        <w:rPr>
          <w:b/>
          <w:bCs/>
          <w:smallCaps/>
          <w:kern w:val="0"/>
          <w:sz w:val="24"/>
          <w:szCs w:val="24"/>
          <w:shd w:val="clear" w:color="auto" w:fill="FFFFFF"/>
          <w:lang w:val="en-US" w:eastAsia="ru-RU"/>
        </w:rPr>
        <w:t>A</w:t>
      </w:r>
      <w:r w:rsidRPr="008D1F9E">
        <w:rPr>
          <w:b/>
          <w:bCs/>
          <w:kern w:val="0"/>
          <w:sz w:val="24"/>
          <w:szCs w:val="24"/>
          <w:shd w:val="clear" w:color="auto" w:fill="FFFFFF"/>
          <w:lang w:val="en-US" w:eastAsia="ru-RU"/>
        </w:rPr>
        <w:t>nnotation:</w:t>
      </w:r>
      <w:r w:rsidRPr="00A80265">
        <w:rPr>
          <w:b/>
          <w:bCs/>
          <w:kern w:val="0"/>
          <w:sz w:val="24"/>
          <w:szCs w:val="24"/>
          <w:shd w:val="clear" w:color="auto" w:fill="FFFFFF"/>
          <w:lang w:val="en-GB" w:eastAsia="ru-RU"/>
        </w:rPr>
        <w:t xml:space="preserve"> </w:t>
      </w:r>
      <w:r w:rsidRPr="008D1F9E">
        <w:rPr>
          <w:color w:val="auto"/>
          <w:kern w:val="0"/>
          <w:sz w:val="24"/>
          <w:szCs w:val="24"/>
          <w:lang w:val="en-US" w:eastAsia="ru-RU"/>
        </w:rPr>
        <w:t>A possible direction for improving the practice of businesscommunications is the use of e-services. It is accepted that the first step in this direction should be the development of an appropriate e-service model. The values of the main components of the model are given. Recommendations for the development of the e-service architecture are given. In accordance with the above, the main steps for developing a model of e-services to support business communications are proposed. As a basic approach to setting up business communications based one-services, it makes sense to use the concept of service-oriented architecture of information systems.</w:t>
      </w:r>
    </w:p>
    <w:p w:rsidR="009A009A" w:rsidRPr="008D1F9E" w:rsidRDefault="009A009A" w:rsidP="00FD1862">
      <w:pPr>
        <w:spacing w:after="0" w:line="240" w:lineRule="auto"/>
        <w:jc w:val="both"/>
        <w:rPr>
          <w:color w:val="auto"/>
          <w:kern w:val="0"/>
          <w:sz w:val="24"/>
          <w:szCs w:val="24"/>
          <w:lang w:val="en-US" w:eastAsia="ru-RU"/>
        </w:rPr>
      </w:pPr>
      <w:r w:rsidRPr="008D1F9E">
        <w:rPr>
          <w:b/>
          <w:bCs/>
          <w:color w:val="auto"/>
          <w:kern w:val="0"/>
          <w:sz w:val="24"/>
          <w:szCs w:val="24"/>
          <w:lang w:val="en-US" w:eastAsia="ru-RU"/>
        </w:rPr>
        <w:t>Keywords:</w:t>
      </w:r>
      <w:r w:rsidRPr="008D1F9E">
        <w:rPr>
          <w:color w:val="auto"/>
          <w:kern w:val="0"/>
          <w:sz w:val="24"/>
          <w:szCs w:val="24"/>
          <w:lang w:val="en-US" w:eastAsia="ru-RU"/>
        </w:rPr>
        <w:t xml:space="preserve"> business communications</w:t>
      </w:r>
      <w:r w:rsidRPr="008D1F9E">
        <w:rPr>
          <w:color w:val="auto"/>
          <w:kern w:val="0"/>
          <w:sz w:val="24"/>
          <w:szCs w:val="24"/>
          <w:lang w:eastAsia="ru-RU"/>
        </w:rPr>
        <w:t>;</w:t>
      </w:r>
      <w:r w:rsidRPr="008D1F9E">
        <w:rPr>
          <w:color w:val="auto"/>
          <w:kern w:val="0"/>
          <w:sz w:val="24"/>
          <w:szCs w:val="24"/>
          <w:lang w:val="en-US" w:eastAsia="ru-RU"/>
        </w:rPr>
        <w:t xml:space="preserve"> e-services</w:t>
      </w:r>
      <w:r w:rsidRPr="008D1F9E">
        <w:rPr>
          <w:color w:val="auto"/>
          <w:kern w:val="0"/>
          <w:sz w:val="24"/>
          <w:szCs w:val="24"/>
          <w:lang w:eastAsia="ru-RU"/>
        </w:rPr>
        <w:t>;</w:t>
      </w:r>
      <w:r w:rsidRPr="008D1F9E">
        <w:rPr>
          <w:color w:val="auto"/>
          <w:kern w:val="0"/>
          <w:sz w:val="24"/>
          <w:szCs w:val="24"/>
          <w:lang w:val="en-US" w:eastAsia="ru-RU"/>
        </w:rPr>
        <w:t xml:space="preserve"> e-services model</w:t>
      </w:r>
      <w:r w:rsidRPr="008D1F9E">
        <w:rPr>
          <w:color w:val="auto"/>
          <w:kern w:val="0"/>
          <w:sz w:val="24"/>
          <w:szCs w:val="24"/>
          <w:lang w:eastAsia="ru-RU"/>
        </w:rPr>
        <w:t>;</w:t>
      </w:r>
      <w:r w:rsidRPr="008D1F9E">
        <w:rPr>
          <w:color w:val="auto"/>
          <w:kern w:val="0"/>
          <w:sz w:val="24"/>
          <w:szCs w:val="24"/>
          <w:lang w:val="en-US" w:eastAsia="ru-RU"/>
        </w:rPr>
        <w:t xml:space="preserve"> XML standards for data</w:t>
      </w:r>
    </w:p>
    <w:p w:rsidR="009A009A" w:rsidRPr="008D1F9E" w:rsidRDefault="009A009A" w:rsidP="00FD1862">
      <w:pPr>
        <w:spacing w:after="0" w:line="240" w:lineRule="auto"/>
        <w:ind w:firstLine="709"/>
        <w:jc w:val="both"/>
        <w:rPr>
          <w:color w:val="auto"/>
          <w:kern w:val="0"/>
          <w:sz w:val="24"/>
          <w:szCs w:val="24"/>
          <w:lang w:eastAsia="ru-RU"/>
        </w:rPr>
      </w:pPr>
    </w:p>
    <w:p w:rsidR="009A009A" w:rsidRPr="008D1F9E" w:rsidRDefault="009A009A" w:rsidP="00FD1862">
      <w:pPr>
        <w:spacing w:after="0" w:line="240" w:lineRule="auto"/>
        <w:ind w:firstLine="709"/>
        <w:jc w:val="both"/>
        <w:rPr>
          <w:color w:val="auto"/>
          <w:kern w:val="0"/>
          <w:sz w:val="24"/>
          <w:szCs w:val="24"/>
          <w:lang w:eastAsia="ru-RU"/>
        </w:rPr>
      </w:pPr>
      <w:bookmarkStart w:id="1" w:name="_Hlk166695692"/>
      <w:r w:rsidRPr="008D1F9E">
        <w:rPr>
          <w:color w:val="auto"/>
          <w:kern w:val="0"/>
          <w:sz w:val="24"/>
          <w:szCs w:val="24"/>
          <w:lang w:eastAsia="ru-RU"/>
        </w:rPr>
        <w:t xml:space="preserve">Одним із напрямів удосконалення практики таких бізнес-комунікацій, як продаж товарів, послуги, обмін комерційною інформацією тощо, є використання цифрових сервісів (е-сервісів) </w:t>
      </w:r>
      <w:bookmarkEnd w:id="1"/>
      <w:r w:rsidRPr="008D1F9E">
        <w:rPr>
          <w:color w:val="auto"/>
          <w:kern w:val="0"/>
          <w:sz w:val="24"/>
          <w:szCs w:val="24"/>
          <w:lang w:eastAsia="ru-RU"/>
        </w:rPr>
        <w:t>[2, 3].</w:t>
      </w:r>
    </w:p>
    <w:p w:rsidR="009A009A" w:rsidRPr="008D1F9E" w:rsidRDefault="009A009A" w:rsidP="00FD1862">
      <w:pPr>
        <w:spacing w:after="0" w:line="240" w:lineRule="auto"/>
        <w:ind w:firstLine="709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 xml:space="preserve">Ефективне </w:t>
      </w:r>
      <w:bookmarkStart w:id="2" w:name="_Hlk166695732"/>
      <w:r w:rsidRPr="008D1F9E">
        <w:rPr>
          <w:color w:val="auto"/>
          <w:kern w:val="0"/>
          <w:sz w:val="24"/>
          <w:szCs w:val="24"/>
          <w:lang w:eastAsia="ru-RU"/>
        </w:rPr>
        <w:t>використання інструментів е-сервісів стає особли</w:t>
      </w:r>
      <w:r w:rsidRPr="008D1F9E">
        <w:rPr>
          <w:color w:val="auto"/>
          <w:kern w:val="0"/>
          <w:sz w:val="24"/>
          <w:szCs w:val="24"/>
          <w:lang w:eastAsia="ru-RU"/>
        </w:rPr>
        <w:softHyphen/>
        <w:t>во актуальним за умови становлення в світі інформаційного суспільства. Першим кроком в цьому напряму має стати розробка відповідної моделі, яка представить процедуру комунікації в бізнес-середовищі на базі процесу інформаційного обміну</w:t>
      </w:r>
      <w:r w:rsidRPr="008D1F9E">
        <w:rPr>
          <w:rFonts w:eastAsia="TimesNewRoman"/>
          <w:color w:val="auto"/>
          <w:kern w:val="0"/>
          <w:sz w:val="24"/>
          <w:szCs w:val="24"/>
          <w:lang w:eastAsia="uk-UA"/>
        </w:rPr>
        <w:t xml:space="preserve"> як між окремими компаніями, так і окремими споживачами їх товарів та послуг </w:t>
      </w:r>
      <w:r w:rsidRPr="008D1F9E">
        <w:rPr>
          <w:color w:val="auto"/>
          <w:kern w:val="0"/>
          <w:sz w:val="24"/>
          <w:szCs w:val="24"/>
          <w:lang w:eastAsia="ru-RU"/>
        </w:rPr>
        <w:t>[1].</w:t>
      </w:r>
    </w:p>
    <w:p w:rsidR="009A009A" w:rsidRPr="008D1F9E" w:rsidRDefault="009A009A" w:rsidP="00FD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"/>
          <w:iCs/>
          <w:color w:val="auto"/>
          <w:kern w:val="0"/>
          <w:sz w:val="24"/>
          <w:szCs w:val="24"/>
          <w:lang w:eastAsia="uk-UA"/>
        </w:rPr>
      </w:pPr>
      <w:r w:rsidRPr="008D1F9E">
        <w:rPr>
          <w:rFonts w:eastAsia="TimesNewRoman"/>
          <w:iCs/>
          <w:color w:val="auto"/>
          <w:kern w:val="0"/>
          <w:sz w:val="24"/>
          <w:szCs w:val="24"/>
          <w:lang w:eastAsia="uk-UA"/>
        </w:rPr>
        <w:t xml:space="preserve">Але поза тим, яка концепція буде покладена в основу моделі е-сервісу, її розробка має починатися з визначення її цільового призначення </w:t>
      </w:r>
      <w:r w:rsidRPr="008D1F9E">
        <w:rPr>
          <w:color w:val="auto"/>
          <w:kern w:val="0"/>
          <w:sz w:val="24"/>
          <w:szCs w:val="24"/>
          <w:lang w:eastAsia="ru-RU"/>
        </w:rPr>
        <w:t>[1, 3].</w:t>
      </w:r>
      <w:r w:rsidRPr="008D1F9E">
        <w:rPr>
          <w:rFonts w:eastAsia="TimesNewRoman"/>
          <w:iCs/>
          <w:color w:val="auto"/>
          <w:kern w:val="0"/>
          <w:sz w:val="24"/>
          <w:szCs w:val="24"/>
          <w:lang w:eastAsia="uk-UA"/>
        </w:rPr>
        <w:t xml:space="preserve"> Далі можна буде перейти до побудови </w:t>
      </w:r>
      <w:r w:rsidRPr="008D1F9E">
        <w:rPr>
          <w:color w:val="auto"/>
          <w:kern w:val="0"/>
          <w:sz w:val="24"/>
          <w:szCs w:val="24"/>
          <w:lang w:eastAsia="ru-RU"/>
        </w:rPr>
        <w:t xml:space="preserve">архітектури </w:t>
      </w:r>
      <w:r w:rsidRPr="008D1F9E">
        <w:rPr>
          <w:rFonts w:eastAsia="TimesNewRoman"/>
          <w:iCs/>
          <w:color w:val="auto"/>
          <w:kern w:val="0"/>
          <w:sz w:val="24"/>
          <w:szCs w:val="24"/>
          <w:lang w:eastAsia="uk-UA"/>
        </w:rPr>
        <w:t>е-сервісу</w:t>
      </w:r>
      <w:r w:rsidRPr="008D1F9E">
        <w:rPr>
          <w:bCs/>
          <w:iCs/>
          <w:color w:val="auto"/>
          <w:kern w:val="0"/>
          <w:sz w:val="24"/>
          <w:szCs w:val="24"/>
          <w:lang w:eastAsia="ru-RU"/>
        </w:rPr>
        <w:t xml:space="preserve">, </w:t>
      </w:r>
      <w:r w:rsidRPr="008D1F9E">
        <w:rPr>
          <w:rFonts w:eastAsia="TimesNewRoman"/>
          <w:iCs/>
          <w:color w:val="auto"/>
          <w:kern w:val="0"/>
          <w:sz w:val="24"/>
          <w:szCs w:val="24"/>
          <w:lang w:eastAsia="uk-UA"/>
        </w:rPr>
        <w:t>визначення основних елементи його архітектури та взаємозв’язок між ними</w:t>
      </w:r>
      <w:r w:rsidRPr="008D1F9E">
        <w:rPr>
          <w:color w:val="auto"/>
          <w:kern w:val="0"/>
          <w:sz w:val="24"/>
          <w:szCs w:val="24"/>
          <w:lang w:eastAsia="ru-RU"/>
        </w:rPr>
        <w:t xml:space="preserve"> [4].</w:t>
      </w:r>
    </w:p>
    <w:p w:rsidR="009A009A" w:rsidRPr="008D1F9E" w:rsidRDefault="009A009A" w:rsidP="00FD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NewRoman"/>
          <w:iCs/>
          <w:color w:val="auto"/>
          <w:kern w:val="0"/>
          <w:sz w:val="24"/>
          <w:szCs w:val="24"/>
          <w:lang w:eastAsia="uk-UA"/>
        </w:rPr>
      </w:pPr>
      <w:r w:rsidRPr="008D1F9E">
        <w:rPr>
          <w:rFonts w:eastAsia="TimesNewRoman"/>
          <w:iCs/>
          <w:color w:val="auto"/>
          <w:kern w:val="0"/>
          <w:sz w:val="24"/>
          <w:szCs w:val="24"/>
          <w:lang w:eastAsia="uk-UA"/>
        </w:rPr>
        <w:t>Одночасно з розробкою архітектури е-сервісу слід прийняти до уваги наступне:</w:t>
      </w:r>
    </w:p>
    <w:p w:rsidR="009A009A" w:rsidRPr="008D1F9E" w:rsidRDefault="009A009A" w:rsidP="00FD186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kern w:val="0"/>
          <w:sz w:val="24"/>
          <w:szCs w:val="24"/>
          <w:lang w:eastAsia="ru-RU"/>
        </w:rPr>
      </w:pPr>
      <w:r w:rsidRPr="008D1F9E">
        <w:rPr>
          <w:kern w:val="0"/>
          <w:sz w:val="24"/>
          <w:szCs w:val="24"/>
          <w:lang w:eastAsia="ru-RU"/>
        </w:rPr>
        <w:t xml:space="preserve">визначення мети та специфічних умов використання для підтримки бізнес-комунікацій; </w:t>
      </w:r>
    </w:p>
    <w:bookmarkEnd w:id="2"/>
    <w:p w:rsidR="009A009A" w:rsidRPr="008D1F9E" w:rsidRDefault="009A009A" w:rsidP="00FD186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kern w:val="0"/>
          <w:sz w:val="24"/>
          <w:szCs w:val="24"/>
          <w:lang w:eastAsia="ru-RU"/>
        </w:rPr>
      </w:pPr>
      <w:r w:rsidRPr="008D1F9E">
        <w:rPr>
          <w:kern w:val="0"/>
          <w:sz w:val="24"/>
          <w:szCs w:val="24"/>
          <w:lang w:eastAsia="ru-RU"/>
        </w:rPr>
        <w:t xml:space="preserve">форма звернення партнерів та споживачів товарів та послуг: Web-доступ, мобільний доступ, пряме зовнішнє звернення тощо; </w:t>
      </w:r>
    </w:p>
    <w:p w:rsidR="009A009A" w:rsidRPr="008D1F9E" w:rsidRDefault="009A009A" w:rsidP="00FD186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kern w:val="0"/>
          <w:sz w:val="24"/>
          <w:szCs w:val="24"/>
          <w:lang w:eastAsia="ru-RU"/>
        </w:rPr>
      </w:pPr>
      <w:r w:rsidRPr="008D1F9E">
        <w:rPr>
          <w:kern w:val="0"/>
          <w:sz w:val="24"/>
          <w:szCs w:val="24"/>
          <w:lang w:eastAsia="ru-RU"/>
        </w:rPr>
        <w:t xml:space="preserve">основні складові регламенту здійснення комунікацій, розбивка його на окремі підоперації та  визначення послідовністю їх виконання; </w:t>
      </w:r>
    </w:p>
    <w:p w:rsidR="009A009A" w:rsidRPr="008D1F9E" w:rsidRDefault="009A009A" w:rsidP="00FD186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kern w:val="0"/>
          <w:sz w:val="24"/>
          <w:szCs w:val="24"/>
          <w:lang w:eastAsia="ru-RU"/>
        </w:rPr>
      </w:pPr>
      <w:r w:rsidRPr="008D1F9E">
        <w:rPr>
          <w:kern w:val="0"/>
          <w:sz w:val="24"/>
          <w:szCs w:val="24"/>
          <w:lang w:eastAsia="ru-RU"/>
        </w:rPr>
        <w:t xml:space="preserve">законодавче забезпечення та обмеження на здійснення комерційної діяльності; </w:t>
      </w:r>
    </w:p>
    <w:p w:rsidR="009A009A" w:rsidRPr="008D1F9E" w:rsidRDefault="009A009A" w:rsidP="00FD186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kern w:val="0"/>
          <w:sz w:val="24"/>
          <w:szCs w:val="24"/>
          <w:lang w:eastAsia="ru-RU"/>
        </w:rPr>
      </w:pPr>
      <w:r w:rsidRPr="008D1F9E">
        <w:rPr>
          <w:kern w:val="0"/>
          <w:sz w:val="24"/>
          <w:szCs w:val="24"/>
          <w:lang w:eastAsia="ru-RU"/>
        </w:rPr>
        <w:t xml:space="preserve">ресурси з підтримки </w:t>
      </w:r>
      <w:r w:rsidRPr="008D1F9E">
        <w:rPr>
          <w:rFonts w:eastAsia="TimesNewRoman"/>
          <w:iCs/>
          <w:kern w:val="0"/>
          <w:sz w:val="24"/>
          <w:szCs w:val="24"/>
          <w:lang w:eastAsia="uk-UA"/>
        </w:rPr>
        <w:t>е-сервісу</w:t>
      </w:r>
      <w:r w:rsidRPr="008D1F9E">
        <w:rPr>
          <w:kern w:val="0"/>
          <w:sz w:val="24"/>
          <w:szCs w:val="24"/>
          <w:lang w:eastAsia="ru-RU"/>
        </w:rPr>
        <w:t xml:space="preserve">: наявна система документообігу, «Web-портал», можливість входження до телекомунікаційних мереж; </w:t>
      </w:r>
    </w:p>
    <w:p w:rsidR="009A009A" w:rsidRPr="008D1F9E" w:rsidRDefault="009A009A" w:rsidP="00FD186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kern w:val="0"/>
          <w:sz w:val="24"/>
          <w:szCs w:val="24"/>
          <w:lang w:eastAsia="ru-RU"/>
        </w:rPr>
      </w:pPr>
      <w:r w:rsidRPr="008D1F9E">
        <w:rPr>
          <w:kern w:val="0"/>
          <w:sz w:val="24"/>
          <w:szCs w:val="24"/>
          <w:lang w:eastAsia="ru-RU"/>
        </w:rPr>
        <w:t xml:space="preserve">початок та закінчення процесу бізнес-комунікацій: інформаційне забезпечення, форми заяви, аналітична інформація, процедура прийняті рішення, архівація. </w:t>
      </w:r>
    </w:p>
    <w:p w:rsidR="009A009A" w:rsidRPr="008D1F9E" w:rsidRDefault="009A009A" w:rsidP="00FD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Cs/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Виходячи з викладе</w:t>
      </w:r>
      <w:bookmarkStart w:id="3" w:name="_Toc83892810"/>
      <w:r w:rsidRPr="008D1F9E">
        <w:rPr>
          <w:color w:val="auto"/>
          <w:kern w:val="0"/>
          <w:sz w:val="24"/>
          <w:szCs w:val="24"/>
          <w:lang w:eastAsia="ru-RU"/>
        </w:rPr>
        <w:t xml:space="preserve">ного, </w:t>
      </w:r>
      <w:bookmarkStart w:id="4" w:name="_Hlk166695746"/>
      <w:r w:rsidRPr="008D1F9E">
        <w:rPr>
          <w:color w:val="auto"/>
          <w:kern w:val="0"/>
          <w:sz w:val="24"/>
          <w:szCs w:val="24"/>
          <w:lang w:eastAsia="ru-RU"/>
        </w:rPr>
        <w:t>можна визначити перелік технологічних рішень та стандартів даних необхідних для розробки  моделі е-сервісу:</w:t>
      </w:r>
      <w:bookmarkEnd w:id="4"/>
    </w:p>
    <w:p w:rsidR="009A009A" w:rsidRPr="008D1F9E" w:rsidRDefault="009A009A" w:rsidP="00FD1862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детальний опис процесу бізнес-комунікацій з урахуванням можливості представлення основних етапів в цифровій формі;</w:t>
      </w:r>
    </w:p>
    <w:p w:rsidR="009A009A" w:rsidRPr="008D1F9E" w:rsidRDefault="009A009A" w:rsidP="00FD1862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визначення відповідності представлення даних вимогам єдиних відкритих стандартів XML на дані й інформацію, що використовують в процесі надання адміністративних послуг, включно можливість підтримки взаємодії між окремими компаніями або споживачами;</w:t>
      </w:r>
    </w:p>
    <w:p w:rsidR="009A009A" w:rsidRPr="008D1F9E" w:rsidRDefault="009A009A" w:rsidP="00FD1862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перелік базових технологічних компонентів, що забезпечують можливість переходу від загального опису проєкту до їх представлення на основі елементів е-сервісу;</w:t>
      </w:r>
    </w:p>
    <w:p w:rsidR="009A009A" w:rsidRPr="008D1F9E" w:rsidRDefault="009A009A" w:rsidP="00FD1862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алгоритм управління цифровими даними;</w:t>
      </w:r>
    </w:p>
    <w:p w:rsidR="009A009A" w:rsidRPr="008D1F9E" w:rsidRDefault="009A009A" w:rsidP="00FD1862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визначення відповідності розробленої моделі існуючим підходам до організації бізнес-комунікацій на основі застосування е-сервісів</w:t>
      </w:r>
      <w:bookmarkEnd w:id="3"/>
      <w:r w:rsidRPr="008D1F9E">
        <w:rPr>
          <w:color w:val="auto"/>
          <w:kern w:val="0"/>
          <w:sz w:val="24"/>
          <w:szCs w:val="24"/>
          <w:lang w:eastAsia="ru-RU"/>
        </w:rPr>
        <w:t>.</w:t>
      </w:r>
    </w:p>
    <w:p w:rsidR="009A009A" w:rsidRPr="008D1F9E" w:rsidRDefault="009A009A" w:rsidP="00FD1862">
      <w:pPr>
        <w:spacing w:after="0" w:line="240" w:lineRule="auto"/>
        <w:ind w:firstLine="709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Перераховані складові є обов’язковими передумовами розробки моделі інтегрованих е-сервісів. Вони дозволяють врахувати всю розмаїтість, складність, різні рівні бізнесу, можливість використання успадкованих систем, які вже створені в окремих компаніях.</w:t>
      </w:r>
    </w:p>
    <w:p w:rsidR="009A009A" w:rsidRPr="008D1F9E" w:rsidRDefault="009A009A" w:rsidP="00FD1862">
      <w:pPr>
        <w:spacing w:after="0" w:line="240" w:lineRule="auto"/>
        <w:ind w:firstLine="709"/>
        <w:jc w:val="both"/>
        <w:rPr>
          <w:color w:val="auto"/>
          <w:kern w:val="0"/>
          <w:sz w:val="24"/>
          <w:szCs w:val="24"/>
          <w:lang w:eastAsia="ru-RU"/>
        </w:rPr>
      </w:pPr>
      <w:bookmarkStart w:id="5" w:name="_Hlk166695758"/>
      <w:r w:rsidRPr="008D1F9E">
        <w:rPr>
          <w:color w:val="auto"/>
          <w:kern w:val="0"/>
          <w:sz w:val="24"/>
          <w:szCs w:val="24"/>
          <w:lang w:eastAsia="ru-RU"/>
        </w:rPr>
        <w:t>Побудова м</w:t>
      </w:r>
      <w:r w:rsidRPr="008D1F9E">
        <w:rPr>
          <w:iCs/>
          <w:color w:val="auto"/>
          <w:kern w:val="0"/>
          <w:sz w:val="24"/>
          <w:szCs w:val="24"/>
          <w:lang w:eastAsia="ru-RU"/>
        </w:rPr>
        <w:t xml:space="preserve">оделі </w:t>
      </w:r>
      <w:r w:rsidRPr="008D1F9E">
        <w:rPr>
          <w:color w:val="auto"/>
          <w:kern w:val="0"/>
          <w:sz w:val="24"/>
          <w:szCs w:val="24"/>
          <w:lang w:eastAsia="ru-RU"/>
        </w:rPr>
        <w:t>е-сервісів</w:t>
      </w:r>
      <w:r w:rsidRPr="008D1F9E">
        <w:rPr>
          <w:iCs/>
          <w:color w:val="auto"/>
          <w:kern w:val="0"/>
          <w:sz w:val="24"/>
          <w:szCs w:val="24"/>
          <w:lang w:eastAsia="ru-RU"/>
        </w:rPr>
        <w:t xml:space="preserve"> для підтримки бізнес-комунікацій передбачає виконання наступних кроків</w:t>
      </w:r>
      <w:r w:rsidRPr="008D1F9E">
        <w:rPr>
          <w:color w:val="auto"/>
          <w:kern w:val="0"/>
          <w:sz w:val="24"/>
          <w:szCs w:val="24"/>
          <w:lang w:eastAsia="ru-RU"/>
        </w:rPr>
        <w:t>:</w:t>
      </w:r>
    </w:p>
    <w:bookmarkEnd w:id="5"/>
    <w:p w:rsidR="009A009A" w:rsidRPr="008D1F9E" w:rsidRDefault="009A009A" w:rsidP="00FD1862">
      <w:pPr>
        <w:numPr>
          <w:ilvl w:val="2"/>
          <w:numId w:val="12"/>
        </w:numPr>
        <w:tabs>
          <w:tab w:val="clear" w:pos="2160"/>
          <w:tab w:val="num" w:pos="1276"/>
        </w:tabs>
        <w:spacing w:after="0" w:line="240" w:lineRule="auto"/>
        <w:ind w:left="1276" w:hanging="708"/>
        <w:contextualSpacing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розробка та прийняття за основу загальної архітектури програмного забезпечення проміжного рівня, що зокрема має забезпечити практичну підтримку певних функцій:</w:t>
      </w:r>
    </w:p>
    <w:p w:rsidR="009A009A" w:rsidRPr="008D1F9E" w:rsidRDefault="009A009A" w:rsidP="00FD1862">
      <w:pPr>
        <w:numPr>
          <w:ilvl w:val="1"/>
          <w:numId w:val="16"/>
        </w:numPr>
        <w:tabs>
          <w:tab w:val="num" w:pos="1843"/>
        </w:tabs>
        <w:spacing w:after="0" w:line="240" w:lineRule="auto"/>
        <w:ind w:left="1276" w:hanging="425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можливість взаємодії з функціоналом вже існуючих е-сервісів;</w:t>
      </w:r>
    </w:p>
    <w:p w:rsidR="009A009A" w:rsidRPr="008D1F9E" w:rsidRDefault="009A009A" w:rsidP="00FD1862">
      <w:pPr>
        <w:numPr>
          <w:ilvl w:val="1"/>
          <w:numId w:val="16"/>
        </w:numPr>
        <w:tabs>
          <w:tab w:val="num" w:pos="1843"/>
        </w:tabs>
        <w:spacing w:after="0" w:line="240" w:lineRule="auto"/>
        <w:ind w:left="1276" w:hanging="425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можливість моніторингу транзакцій і процесів, їх представлення у формі єдиних каталогів;</w:t>
      </w:r>
    </w:p>
    <w:p w:rsidR="009A009A" w:rsidRPr="008D1F9E" w:rsidRDefault="009A009A" w:rsidP="00FD1862">
      <w:pPr>
        <w:numPr>
          <w:ilvl w:val="1"/>
          <w:numId w:val="16"/>
        </w:numPr>
        <w:tabs>
          <w:tab w:val="num" w:pos="1843"/>
        </w:tabs>
        <w:spacing w:after="0" w:line="240" w:lineRule="auto"/>
        <w:ind w:left="1276" w:hanging="425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забезпечення реалізаціїе-сервісів в принципово розподіленому середовищі;</w:t>
      </w:r>
    </w:p>
    <w:p w:rsidR="009A009A" w:rsidRPr="008D1F9E" w:rsidRDefault="009A009A" w:rsidP="00FD1862">
      <w:pPr>
        <w:numPr>
          <w:ilvl w:val="1"/>
          <w:numId w:val="16"/>
        </w:numPr>
        <w:tabs>
          <w:tab w:val="num" w:pos="1843"/>
        </w:tabs>
        <w:spacing w:after="0" w:line="240" w:lineRule="auto"/>
        <w:ind w:left="1276" w:hanging="425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незалежність від мережних і апаратних платформ, операційних систем, які використовують у базах даних партнерських компаній;</w:t>
      </w:r>
    </w:p>
    <w:p w:rsidR="009A009A" w:rsidRPr="008D1F9E" w:rsidRDefault="009A009A" w:rsidP="00FD1862">
      <w:pPr>
        <w:numPr>
          <w:ilvl w:val="1"/>
          <w:numId w:val="16"/>
        </w:numPr>
        <w:tabs>
          <w:tab w:val="num" w:pos="1843"/>
        </w:tabs>
        <w:spacing w:after="0" w:line="240" w:lineRule="auto"/>
        <w:ind w:left="1276" w:hanging="425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можливість обробляти й реалізовувати транзакції й робочі процеси як в асинхронному режимі, так і в режимі реального часу.</w:t>
      </w:r>
    </w:p>
    <w:p w:rsidR="009A009A" w:rsidRPr="008D1F9E" w:rsidRDefault="009A009A" w:rsidP="00FD1862">
      <w:pPr>
        <w:numPr>
          <w:ilvl w:val="0"/>
          <w:numId w:val="15"/>
        </w:numPr>
        <w:spacing w:after="0" w:line="240" w:lineRule="auto"/>
        <w:ind w:left="1276" w:hanging="708"/>
        <w:contextualSpacing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розробка та застосування єдиної методики опису й моделювання процедури бізнес-комунікацій;</w:t>
      </w:r>
    </w:p>
    <w:p w:rsidR="009A009A" w:rsidRPr="008D1F9E" w:rsidRDefault="009A009A" w:rsidP="00FD1862">
      <w:pPr>
        <w:numPr>
          <w:ilvl w:val="0"/>
          <w:numId w:val="15"/>
        </w:numPr>
        <w:spacing w:after="0" w:line="240" w:lineRule="auto"/>
        <w:ind w:left="1276" w:hanging="708"/>
        <w:contextualSpacing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визначення та використання єдиних стандартів на представлення даних.</w:t>
      </w:r>
    </w:p>
    <w:p w:rsidR="009A009A" w:rsidRPr="008D1F9E" w:rsidRDefault="009A009A" w:rsidP="00FD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</w:rPr>
        <w:t xml:space="preserve">Доцільним у даній ситуації є використання підходів, коли обмін інформацією базується на використанні погоджених XML-форматів та загальних сервісів (базових компонент), що входять до системи </w:t>
      </w:r>
      <w:r w:rsidRPr="008D1F9E">
        <w:rPr>
          <w:color w:val="auto"/>
          <w:kern w:val="0"/>
          <w:sz w:val="24"/>
          <w:szCs w:val="24"/>
          <w:lang w:eastAsia="ru-RU"/>
        </w:rPr>
        <w:t>е-сервісу</w:t>
      </w:r>
      <w:r w:rsidRPr="008D1F9E">
        <w:rPr>
          <w:color w:val="auto"/>
          <w:kern w:val="0"/>
          <w:sz w:val="24"/>
          <w:szCs w:val="24"/>
        </w:rPr>
        <w:t>. Такий підхід має</w:t>
      </w:r>
      <w:r w:rsidRPr="008D1F9E">
        <w:rPr>
          <w:color w:val="auto"/>
          <w:kern w:val="0"/>
          <w:sz w:val="24"/>
          <w:szCs w:val="24"/>
          <w:lang w:eastAsia="ru-RU"/>
        </w:rPr>
        <w:t xml:space="preserve"> переваги з погляду сумісності систем, їхньої гнучкості, взаємозамінності окремих модулів, можливостей використання централізованих, загальних сервісів, високого ступеня незалежності від конкретних технологічних рішень і постачальників.</w:t>
      </w:r>
    </w:p>
    <w:p w:rsidR="009A009A" w:rsidRPr="008D1F9E" w:rsidRDefault="009A009A" w:rsidP="00FD1862">
      <w:pPr>
        <w:autoSpaceDE w:val="0"/>
        <w:autoSpaceDN w:val="0"/>
        <w:spacing w:after="0" w:line="240" w:lineRule="auto"/>
        <w:ind w:firstLine="709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Використання базових компонент для реалізації е-сервісу дає ряд відчутних переваг, оскільки стандартизація близьких по своїй логіці процесів і систем створює основу для моделювання на основі єдиного набору компонентів.</w:t>
      </w:r>
    </w:p>
    <w:p w:rsidR="009A009A" w:rsidRPr="008D1F9E" w:rsidRDefault="009A009A" w:rsidP="00FD1862">
      <w:pPr>
        <w:autoSpaceDE w:val="0"/>
        <w:autoSpaceDN w:val="0"/>
        <w:spacing w:after="0" w:line="240" w:lineRule="auto"/>
        <w:ind w:firstLine="709"/>
        <w:jc w:val="both"/>
        <w:rPr>
          <w:color w:val="auto"/>
          <w:kern w:val="0"/>
          <w:sz w:val="24"/>
          <w:szCs w:val="24"/>
          <w:lang w:eastAsia="ru-RU"/>
        </w:rPr>
      </w:pPr>
      <w:bookmarkStart w:id="6" w:name="_Hlk166695775"/>
      <w:r w:rsidRPr="008D1F9E">
        <w:rPr>
          <w:color w:val="auto"/>
          <w:kern w:val="0"/>
          <w:sz w:val="24"/>
          <w:szCs w:val="24"/>
          <w:lang w:eastAsia="ru-RU"/>
        </w:rPr>
        <w:t xml:space="preserve">Для практичного використання компонентного підходу до створення моделі бізнес-комунікацій  на основі е-сервісів є сенс використовувати концепцію сервіс – орієнтованої архітектури інформаційних систем. </w:t>
      </w:r>
      <w:bookmarkEnd w:id="6"/>
      <w:r w:rsidRPr="008D1F9E">
        <w:rPr>
          <w:color w:val="auto"/>
          <w:kern w:val="0"/>
          <w:sz w:val="24"/>
          <w:szCs w:val="24"/>
          <w:lang w:eastAsia="ru-RU"/>
        </w:rPr>
        <w:t xml:space="preserve">Такий підхід припускає, що окремі сервіси, як наприклад система управління електронним документообігом, функціонують автономно, використовують своє операційне середовища в системі е-сервісу, обмежуюсь  взаємодією з іншими сервісами по комунікаційним каналам.  </w:t>
      </w:r>
    </w:p>
    <w:p w:rsidR="009A009A" w:rsidRPr="008D1F9E" w:rsidRDefault="009A009A" w:rsidP="00FD1862">
      <w:pPr>
        <w:spacing w:after="0" w:line="240" w:lineRule="auto"/>
        <w:ind w:firstLine="709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 xml:space="preserve">Таким чином, сервіс-орієнтована архітектура прикладних інформаційних систем має бути представлена у вигляді набору програмних модулів (сервісів), які зв’язані з подібними е-сервісами через інтерфейси доступу. Для цього, при розробці сервіс-орієнтованої архітектури е-сервісу </w:t>
      </w:r>
      <w:r w:rsidRPr="008D1F9E">
        <w:rPr>
          <w:iCs/>
          <w:color w:val="auto"/>
          <w:kern w:val="0"/>
          <w:sz w:val="24"/>
          <w:szCs w:val="24"/>
          <w:lang w:eastAsia="ru-RU"/>
        </w:rPr>
        <w:t>необхідно</w:t>
      </w:r>
      <w:r w:rsidRPr="008D1F9E">
        <w:rPr>
          <w:color w:val="auto"/>
          <w:kern w:val="0"/>
          <w:sz w:val="24"/>
          <w:szCs w:val="24"/>
          <w:lang w:eastAsia="ru-RU"/>
        </w:rPr>
        <w:t xml:space="preserve"> передбачити можливість:</w:t>
      </w:r>
    </w:p>
    <w:p w:rsidR="009A009A" w:rsidRPr="008D1F9E" w:rsidRDefault="009A009A" w:rsidP="00FD1862">
      <w:pPr>
        <w:numPr>
          <w:ilvl w:val="0"/>
          <w:numId w:val="13"/>
        </w:numPr>
        <w:tabs>
          <w:tab w:val="num" w:pos="993"/>
          <w:tab w:val="left" w:pos="1843"/>
        </w:tabs>
        <w:spacing w:after="0" w:line="240" w:lineRule="auto"/>
        <w:ind w:left="1134" w:hanging="425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обміну інформації з іншими сервісами, що входять до мережі;</w:t>
      </w:r>
    </w:p>
    <w:p w:rsidR="009A009A" w:rsidRPr="008D1F9E" w:rsidRDefault="009A009A" w:rsidP="00FD1862">
      <w:pPr>
        <w:numPr>
          <w:ilvl w:val="0"/>
          <w:numId w:val="13"/>
        </w:numPr>
        <w:tabs>
          <w:tab w:val="num" w:pos="993"/>
          <w:tab w:val="left" w:pos="1843"/>
        </w:tabs>
        <w:spacing w:after="0" w:line="240" w:lineRule="auto"/>
        <w:ind w:left="1134" w:hanging="425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застосування принципу автономності е-сервісу окремих компаній;</w:t>
      </w:r>
    </w:p>
    <w:p w:rsidR="009A009A" w:rsidRPr="008D1F9E" w:rsidRDefault="009A009A" w:rsidP="00FD1862">
      <w:pPr>
        <w:numPr>
          <w:ilvl w:val="0"/>
          <w:numId w:val="13"/>
        </w:numPr>
        <w:tabs>
          <w:tab w:val="num" w:pos="993"/>
          <w:tab w:val="left" w:pos="1843"/>
        </w:tabs>
        <w:spacing w:after="0" w:line="240" w:lineRule="auto"/>
        <w:ind w:left="1134" w:hanging="425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 xml:space="preserve">багаторазового звертання до функціонала е-сервісу; </w:t>
      </w:r>
    </w:p>
    <w:p w:rsidR="009A009A" w:rsidRPr="008D1F9E" w:rsidRDefault="009A009A" w:rsidP="00FD1862">
      <w:pPr>
        <w:numPr>
          <w:ilvl w:val="0"/>
          <w:numId w:val="13"/>
        </w:numPr>
        <w:tabs>
          <w:tab w:val="num" w:pos="993"/>
          <w:tab w:val="left" w:pos="1843"/>
        </w:tabs>
        <w:spacing w:after="0" w:line="240" w:lineRule="auto"/>
        <w:ind w:left="1134" w:hanging="425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організації взаємодії між функціоналами інтерфейсів різних е-сервісів.</w:t>
      </w:r>
    </w:p>
    <w:p w:rsidR="009A009A" w:rsidRPr="008D1F9E" w:rsidRDefault="009A009A" w:rsidP="00FD1862">
      <w:pPr>
        <w:spacing w:after="0" w:line="240" w:lineRule="auto"/>
        <w:ind w:firstLine="709"/>
        <w:jc w:val="both"/>
        <w:rPr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 xml:space="preserve">Забезпечити перераховані вимоги можливо вже на етапі розробки архітектури всій мережі системи бізнес-комунікацій. При цьому основна увага повинна приділятися моделюванню процесу комунікацій на основі концепції е-сервісів і розробці цілісної архітектури, з визначенням необхідних стандартних компонент. Використання універсальних стандартів при інформаційному обміні, таких як XML, модульна архітектура тощо, забезпечує можливість адаптивності та ефективності е-сервісу. </w:t>
      </w:r>
    </w:p>
    <w:p w:rsidR="009A009A" w:rsidRDefault="009A009A" w:rsidP="00FD1862">
      <w:pPr>
        <w:spacing w:after="0" w:line="240" w:lineRule="auto"/>
        <w:ind w:firstLine="709"/>
        <w:jc w:val="both"/>
        <w:rPr>
          <w:iCs/>
          <w:color w:val="auto"/>
          <w:kern w:val="0"/>
          <w:sz w:val="24"/>
          <w:szCs w:val="24"/>
          <w:lang w:eastAsia="ru-RU"/>
        </w:rPr>
      </w:pPr>
      <w:r w:rsidRPr="008D1F9E">
        <w:rPr>
          <w:color w:val="auto"/>
          <w:kern w:val="0"/>
          <w:sz w:val="24"/>
          <w:szCs w:val="24"/>
          <w:lang w:eastAsia="ru-RU"/>
        </w:rPr>
        <w:t>Таким чином, постановка питання щодо подальшого розгляду можливості представлення системи е-сервісу у якості набору базових, стандартних сервісів та їх зведення до єдиної архітектури у вигляді м</w:t>
      </w:r>
      <w:r w:rsidRPr="008D1F9E">
        <w:rPr>
          <w:iCs/>
          <w:color w:val="auto"/>
          <w:kern w:val="0"/>
          <w:sz w:val="24"/>
          <w:szCs w:val="24"/>
          <w:lang w:eastAsia="ru-RU"/>
        </w:rPr>
        <w:t>оделі процедури бізнес-комунікацій є актуальною та потребуючою свого вирішення</w:t>
      </w:r>
    </w:p>
    <w:p w:rsidR="009A009A" w:rsidRPr="008D1F9E" w:rsidRDefault="009A009A" w:rsidP="00FD1862">
      <w:pPr>
        <w:spacing w:after="0" w:line="240" w:lineRule="auto"/>
        <w:ind w:firstLine="709"/>
        <w:rPr>
          <w:color w:val="auto"/>
          <w:kern w:val="0"/>
          <w:sz w:val="24"/>
          <w:szCs w:val="24"/>
          <w:lang w:eastAsia="ru-RU"/>
        </w:rPr>
      </w:pPr>
      <w:r w:rsidRPr="008D1F9E">
        <w:rPr>
          <w:b/>
          <w:bCs/>
          <w:iCs/>
          <w:color w:val="auto"/>
          <w:kern w:val="0"/>
          <w:sz w:val="24"/>
          <w:szCs w:val="24"/>
          <w:lang w:eastAsia="ru-RU"/>
        </w:rPr>
        <w:t>Список літератури:</w:t>
      </w:r>
    </w:p>
    <w:p w:rsidR="009A009A" w:rsidRPr="008D1F9E" w:rsidRDefault="009A009A" w:rsidP="00FD186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eastAsia="TimesNewRomanPSMT"/>
          <w:color w:val="auto"/>
          <w:kern w:val="0"/>
          <w:sz w:val="24"/>
          <w:szCs w:val="24"/>
          <w:lang w:eastAsia="ru-RU"/>
        </w:rPr>
      </w:pPr>
      <w:bookmarkStart w:id="7" w:name="_Hlk166693013"/>
      <w:r w:rsidRPr="00A80265">
        <w:rPr>
          <w:color w:val="auto"/>
          <w:kern w:val="0"/>
          <w:sz w:val="24"/>
          <w:szCs w:val="24"/>
          <w:lang w:eastAsia="ru-RU"/>
        </w:rPr>
        <w:t>Писаренко Н.Л</w:t>
      </w:r>
      <w:r w:rsidRPr="008D1F9E">
        <w:rPr>
          <w:color w:val="auto"/>
          <w:kern w:val="0"/>
          <w:sz w:val="24"/>
          <w:szCs w:val="24"/>
          <w:lang w:eastAsia="ru-RU"/>
        </w:rPr>
        <w:t xml:space="preserve">., </w:t>
      </w:r>
      <w:r w:rsidRPr="00A80265">
        <w:rPr>
          <w:color w:val="auto"/>
          <w:kern w:val="0"/>
          <w:sz w:val="24"/>
          <w:szCs w:val="24"/>
          <w:lang w:eastAsia="ru-RU"/>
        </w:rPr>
        <w:t>Євдокимова З.Р.О</w:t>
      </w:r>
      <w:r w:rsidRPr="008D1F9E">
        <w:rPr>
          <w:color w:val="auto"/>
          <w:kern w:val="0"/>
          <w:sz w:val="24"/>
          <w:szCs w:val="24"/>
          <w:lang w:eastAsia="ru-RU"/>
        </w:rPr>
        <w:t xml:space="preserve">собливості функціонування та моделі бізнесу наринкуелектронної комерції в Україні. Економічний вісник НТУУ «КПІ». </w:t>
      </w:r>
      <w:r w:rsidRPr="008D1F9E">
        <w:rPr>
          <w:rFonts w:eastAsia="TimesNewRomanPSMT"/>
          <w:color w:val="auto"/>
          <w:kern w:val="0"/>
          <w:sz w:val="24"/>
          <w:szCs w:val="24"/>
          <w:lang w:val="en-US" w:eastAsia="ru-RU"/>
        </w:rPr>
        <w:t>URL</w:t>
      </w:r>
      <w:r w:rsidRPr="008D1F9E">
        <w:rPr>
          <w:rFonts w:eastAsia="TimesNewRomanPSMT"/>
          <w:color w:val="auto"/>
          <w:kern w:val="0"/>
          <w:sz w:val="24"/>
          <w:szCs w:val="24"/>
          <w:lang w:eastAsia="ru-RU"/>
        </w:rPr>
        <w:t xml:space="preserve">: </w:t>
      </w:r>
      <w:hyperlink r:id="rId7" w:history="1"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https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://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ela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.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kpi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.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ua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/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server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/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api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/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core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/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bitstreams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/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c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0004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d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85-2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a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89-480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f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-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ac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3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f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-24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f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74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e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96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e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94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c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eastAsia="ru-RU"/>
          </w:rPr>
          <w:t>/</w:t>
        </w:r>
        <w:r w:rsidRPr="008D1F9E">
          <w:rPr>
            <w:rFonts w:eastAsia="TimesNewRomanPSMT"/>
            <w:color w:val="auto"/>
            <w:kern w:val="0"/>
            <w:sz w:val="24"/>
            <w:szCs w:val="24"/>
            <w:lang w:val="ru-RU" w:eastAsia="ru-RU"/>
          </w:rPr>
          <w:t>content</w:t>
        </w:r>
      </w:hyperlink>
    </w:p>
    <w:p w:rsidR="009A009A" w:rsidRPr="008D1F9E" w:rsidRDefault="009A009A" w:rsidP="00FD186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eastAsia="TimesNewRomanPSMT"/>
          <w:color w:val="auto"/>
          <w:kern w:val="0"/>
          <w:sz w:val="24"/>
          <w:szCs w:val="24"/>
          <w:lang w:val="en-US" w:eastAsia="ru-RU"/>
        </w:rPr>
      </w:pPr>
      <w:r w:rsidRPr="008D1F9E">
        <w:rPr>
          <w:rFonts w:eastAsia="TimesNewRomanPSMT"/>
          <w:color w:val="auto"/>
          <w:kern w:val="0"/>
          <w:sz w:val="24"/>
          <w:szCs w:val="24"/>
          <w:lang w:val="ru-RU" w:eastAsia="ru-RU"/>
        </w:rPr>
        <w:t>Джонстон П. Технологические аспекты развития глобального информационного общества</w:t>
      </w:r>
      <w:r w:rsidRPr="008D1F9E">
        <w:rPr>
          <w:rFonts w:eastAsia="TimesNewRomanPSMT"/>
          <w:color w:val="auto"/>
          <w:kern w:val="0"/>
          <w:sz w:val="24"/>
          <w:szCs w:val="24"/>
          <w:lang w:eastAsia="ru-RU"/>
        </w:rPr>
        <w:t xml:space="preserve">. </w:t>
      </w:r>
      <w:r w:rsidRPr="008D1F9E">
        <w:rPr>
          <w:rFonts w:eastAsia="TimesNewRomanPSMT"/>
          <w:color w:val="auto"/>
          <w:kern w:val="0"/>
          <w:sz w:val="24"/>
          <w:szCs w:val="24"/>
          <w:lang w:val="en-US" w:eastAsia="ru-RU"/>
        </w:rPr>
        <w:t xml:space="preserve">URL: </w:t>
      </w:r>
      <w:hyperlink r:id="rId8" w:history="1">
        <w:r w:rsidRPr="008D1F9E">
          <w:rPr>
            <w:rFonts w:eastAsia="TimesNewRomanPSMT"/>
            <w:color w:val="auto"/>
            <w:kern w:val="0"/>
            <w:sz w:val="24"/>
            <w:szCs w:val="24"/>
            <w:lang w:val="en-US" w:eastAsia="ru-RU"/>
          </w:rPr>
          <w:t>http://www.ieie.nsc.ru:8101/~forsis/publ/poitiers/john1.html</w:t>
        </w:r>
      </w:hyperlink>
    </w:p>
    <w:p w:rsidR="009A009A" w:rsidRPr="008D1F9E" w:rsidRDefault="009A009A" w:rsidP="00FD186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eastAsia="TimesNewRomanPSMT"/>
          <w:color w:val="auto"/>
          <w:kern w:val="0"/>
          <w:sz w:val="24"/>
          <w:szCs w:val="24"/>
          <w:lang w:val="ru-RU" w:eastAsia="ru-RU"/>
        </w:rPr>
      </w:pPr>
      <w:r w:rsidRPr="008D1F9E">
        <w:rPr>
          <w:rFonts w:eastAsia="TimesNewRomanPSMT"/>
          <w:color w:val="auto"/>
          <w:kern w:val="0"/>
          <w:sz w:val="24"/>
          <w:szCs w:val="24"/>
          <w:lang w:eastAsia="ru-RU"/>
        </w:rPr>
        <w:t>Краус К.М. Електронна комерція та Інтернет-торгівля: навчальний посібник. – Київ, 2021. - 454 с.</w:t>
      </w:r>
      <w:r w:rsidRPr="008D1F9E">
        <w:rPr>
          <w:rFonts w:eastAsia="TimesNewRomanPSMT"/>
          <w:color w:val="auto"/>
          <w:kern w:val="0"/>
          <w:sz w:val="24"/>
          <w:szCs w:val="24"/>
          <w:lang w:val="en-US" w:eastAsia="ru-RU"/>
        </w:rPr>
        <w:t>URL</w:t>
      </w:r>
      <w:r w:rsidRPr="008D1F9E">
        <w:rPr>
          <w:rFonts w:eastAsia="TimesNewRomanPSMT"/>
          <w:color w:val="auto"/>
          <w:kern w:val="0"/>
          <w:sz w:val="24"/>
          <w:szCs w:val="24"/>
          <w:lang w:val="ru-RU" w:eastAsia="ru-RU"/>
        </w:rPr>
        <w:t>: https://bc-club.org.ua/bc-club/online-services.html</w:t>
      </w:r>
    </w:p>
    <w:p w:rsidR="009A009A" w:rsidRPr="008A7DA8" w:rsidRDefault="009A009A" w:rsidP="00FD186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eastAsia="TimesNewRomanPSMT"/>
          <w:color w:val="auto"/>
          <w:kern w:val="0"/>
          <w:sz w:val="24"/>
          <w:szCs w:val="24"/>
          <w:lang w:val="ru-RU" w:eastAsia="ru-RU"/>
        </w:rPr>
      </w:pPr>
      <w:r w:rsidRPr="008D1F9E">
        <w:rPr>
          <w:rFonts w:eastAsia="TimesNewRomanPSMT"/>
          <w:color w:val="auto"/>
          <w:kern w:val="0"/>
          <w:sz w:val="24"/>
          <w:szCs w:val="24"/>
          <w:lang w:eastAsia="ru-RU"/>
        </w:rPr>
        <w:t xml:space="preserve">Онлайн -сервіси для бізнесу. </w:t>
      </w:r>
      <w:r w:rsidRPr="008D1F9E">
        <w:rPr>
          <w:rFonts w:eastAsia="TimesNewRomanPSMT"/>
          <w:color w:val="auto"/>
          <w:kern w:val="0"/>
          <w:sz w:val="24"/>
          <w:szCs w:val="24"/>
          <w:lang w:val="en-US" w:eastAsia="ru-RU"/>
        </w:rPr>
        <w:t>URL</w:t>
      </w:r>
      <w:r w:rsidRPr="008A7DA8">
        <w:rPr>
          <w:rFonts w:eastAsia="TimesNewRomanPSMT"/>
          <w:color w:val="auto"/>
          <w:kern w:val="0"/>
          <w:sz w:val="24"/>
          <w:szCs w:val="24"/>
          <w:lang w:val="ru-RU" w:eastAsia="ru-RU"/>
        </w:rPr>
        <w:t>:</w:t>
      </w:r>
      <w:r w:rsidRPr="008D1F9E">
        <w:rPr>
          <w:rFonts w:eastAsia="TimesNewRomanPSMT"/>
          <w:color w:val="auto"/>
          <w:kern w:val="0"/>
          <w:sz w:val="24"/>
          <w:szCs w:val="24"/>
          <w:lang w:eastAsia="ru-RU"/>
        </w:rPr>
        <w:t xml:space="preserve"> https://bc-club.org.ua/bc-club/online-services.html </w:t>
      </w:r>
      <w:bookmarkEnd w:id="7"/>
    </w:p>
    <w:sectPr w:rsidR="009A009A" w:rsidRPr="008A7DA8" w:rsidSect="00A8026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NumType w:start="1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09A" w:rsidRDefault="009A009A">
      <w:pPr>
        <w:spacing w:after="0" w:line="240" w:lineRule="auto"/>
      </w:pPr>
      <w:r>
        <w:separator/>
      </w:r>
    </w:p>
  </w:endnote>
  <w:endnote w:type="continuationSeparator" w:id="1">
    <w:p w:rsidR="009A009A" w:rsidRDefault="009A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9A" w:rsidRDefault="009A009A" w:rsidP="00D44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009A" w:rsidRDefault="009A009A" w:rsidP="00A8026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9A" w:rsidRDefault="009A009A" w:rsidP="00D44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137</w:t>
    </w:r>
    <w:r>
      <w:rPr>
        <w:rStyle w:val="PageNumber"/>
      </w:rPr>
      <w:fldChar w:fldCharType="end"/>
    </w:r>
  </w:p>
  <w:p w:rsidR="009A009A" w:rsidRDefault="009A009A" w:rsidP="00A8026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09A" w:rsidRDefault="009A009A">
      <w:pPr>
        <w:spacing w:after="0" w:line="240" w:lineRule="auto"/>
      </w:pPr>
      <w:r>
        <w:separator/>
      </w:r>
    </w:p>
  </w:footnote>
  <w:footnote w:type="continuationSeparator" w:id="1">
    <w:p w:rsidR="009A009A" w:rsidRDefault="009A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9A" w:rsidRDefault="009A009A" w:rsidP="00D446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009A" w:rsidRDefault="009A009A" w:rsidP="00A8026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9A" w:rsidRPr="00A80265" w:rsidRDefault="009A009A" w:rsidP="00A80265">
    <w:pPr>
      <w:tabs>
        <w:tab w:val="left" w:pos="690"/>
        <w:tab w:val="center" w:pos="4677"/>
        <w:tab w:val="right" w:pos="9355"/>
      </w:tabs>
      <w:ind w:right="360"/>
      <w:rPr>
        <w:sz w:val="22"/>
      </w:rPr>
    </w:pPr>
    <w:r w:rsidRPr="00A80265">
      <w:rPr>
        <w:sz w:val="22"/>
      </w:rPr>
      <w:t>Тези доповідей 59-ої конференції молодих дослідників «Сучасні інформаційні технології та телекомунікаційні мережі» // Одеса: НУОП, 2024, вип. 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832"/>
    <w:multiLevelType w:val="hybridMultilevel"/>
    <w:tmpl w:val="06E4B41A"/>
    <w:lvl w:ilvl="0" w:tplc="ACD6FB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A0639F"/>
    <w:multiLevelType w:val="hybridMultilevel"/>
    <w:tmpl w:val="505C6EAC"/>
    <w:lvl w:ilvl="0" w:tplc="C9A2C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68BED68A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A74EF3"/>
    <w:multiLevelType w:val="hybridMultilevel"/>
    <w:tmpl w:val="532ACB20"/>
    <w:lvl w:ilvl="0" w:tplc="F9361A88">
      <w:start w:val="2"/>
      <w:numFmt w:val="decimal"/>
      <w:lvlText w:val="крок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BE11EE"/>
    <w:multiLevelType w:val="hybridMultilevel"/>
    <w:tmpl w:val="1AFED4C8"/>
    <w:lvl w:ilvl="0" w:tplc="9D020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F32F98"/>
    <w:multiLevelType w:val="hybridMultilevel"/>
    <w:tmpl w:val="47F63A5C"/>
    <w:lvl w:ilvl="0" w:tplc="28BABE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5130CDD"/>
    <w:multiLevelType w:val="hybridMultilevel"/>
    <w:tmpl w:val="B9FA642A"/>
    <w:lvl w:ilvl="0" w:tplc="8C3C5F40">
      <w:start w:val="1"/>
      <w:numFmt w:val="bullet"/>
      <w:lvlText w:val=""/>
      <w:lvlJc w:val="left"/>
      <w:pPr>
        <w:tabs>
          <w:tab w:val="num" w:pos="287"/>
        </w:tabs>
        <w:ind w:left="287" w:hanging="227"/>
      </w:pPr>
      <w:rPr>
        <w:rFonts w:ascii="Symbol" w:hAnsi="Symbol" w:hint="default"/>
      </w:rPr>
    </w:lvl>
    <w:lvl w:ilvl="1" w:tplc="AA8E9CF6">
      <w:numFmt w:val="none"/>
      <w:lvlText w:val=""/>
      <w:lvlJc w:val="left"/>
      <w:pPr>
        <w:tabs>
          <w:tab w:val="num" w:pos="1500"/>
        </w:tabs>
        <w:ind w:left="1500" w:hanging="360"/>
      </w:pPr>
      <w:rPr>
        <w:rFonts w:ascii="Wingdings" w:hAnsi="Wingdings" w:cs="Times New Roman" w:hint="default"/>
        <w:sz w:val="24"/>
      </w:rPr>
    </w:lvl>
    <w:lvl w:ilvl="2" w:tplc="2E668EAC">
      <w:start w:val="1"/>
      <w:numFmt w:val="decimal"/>
      <w:lvlText w:val="крок 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8F52E0"/>
    <w:multiLevelType w:val="hybridMultilevel"/>
    <w:tmpl w:val="4CE8CAEE"/>
    <w:lvl w:ilvl="0" w:tplc="9D020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E80B8F"/>
    <w:multiLevelType w:val="hybridMultilevel"/>
    <w:tmpl w:val="516614EA"/>
    <w:lvl w:ilvl="0" w:tplc="9D020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A264E7"/>
    <w:multiLevelType w:val="hybridMultilevel"/>
    <w:tmpl w:val="57328724"/>
    <w:lvl w:ilvl="0" w:tplc="9D020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9710DC"/>
    <w:multiLevelType w:val="hybridMultilevel"/>
    <w:tmpl w:val="059813E2"/>
    <w:lvl w:ilvl="0" w:tplc="B818F862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22D7FC7"/>
    <w:multiLevelType w:val="hybridMultilevel"/>
    <w:tmpl w:val="48823B94"/>
    <w:lvl w:ilvl="0" w:tplc="0A3629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9518C2"/>
    <w:multiLevelType w:val="hybridMultilevel"/>
    <w:tmpl w:val="5E0A2B14"/>
    <w:lvl w:ilvl="0" w:tplc="92BA628E">
      <w:start w:val="1"/>
      <w:numFmt w:val="decimal"/>
      <w:lvlText w:val="%1."/>
      <w:lvlJc w:val="left"/>
      <w:pPr>
        <w:ind w:left="1417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3E63DC1"/>
    <w:multiLevelType w:val="hybridMultilevel"/>
    <w:tmpl w:val="918C283C"/>
    <w:lvl w:ilvl="0" w:tplc="0419000F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4107AF8"/>
    <w:multiLevelType w:val="hybridMultilevel"/>
    <w:tmpl w:val="EA3C900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D05BA6"/>
    <w:multiLevelType w:val="hybridMultilevel"/>
    <w:tmpl w:val="832824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ED35E97"/>
    <w:multiLevelType w:val="hybridMultilevel"/>
    <w:tmpl w:val="26BAF816"/>
    <w:lvl w:ilvl="0" w:tplc="8C3C5F40">
      <w:start w:val="1"/>
      <w:numFmt w:val="bullet"/>
      <w:lvlText w:val=""/>
      <w:lvlJc w:val="left"/>
      <w:pPr>
        <w:tabs>
          <w:tab w:val="num" w:pos="287"/>
        </w:tabs>
        <w:ind w:left="287" w:hanging="227"/>
      </w:pPr>
      <w:rPr>
        <w:rFonts w:ascii="Symbol" w:hAnsi="Symbol" w:hint="default"/>
      </w:rPr>
    </w:lvl>
    <w:lvl w:ilvl="1" w:tplc="B818F86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2" w:tplc="2E668EAC">
      <w:start w:val="1"/>
      <w:numFmt w:val="decimal"/>
      <w:lvlText w:val="крок 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7B35048"/>
    <w:multiLevelType w:val="hybridMultilevel"/>
    <w:tmpl w:val="55DA20DA"/>
    <w:lvl w:ilvl="0" w:tplc="F67CA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8752C9"/>
    <w:multiLevelType w:val="hybridMultilevel"/>
    <w:tmpl w:val="43243382"/>
    <w:lvl w:ilvl="0" w:tplc="3B08EB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0"/>
  </w:num>
  <w:num w:numId="5">
    <w:abstractNumId w:val="11"/>
  </w:num>
  <w:num w:numId="6">
    <w:abstractNumId w:val="6"/>
  </w:num>
  <w:num w:numId="7">
    <w:abstractNumId w:val="7"/>
  </w:num>
  <w:num w:numId="8">
    <w:abstractNumId w:val="14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12"/>
  </w:num>
  <w:num w:numId="14">
    <w:abstractNumId w:val="1"/>
  </w:num>
  <w:num w:numId="15">
    <w:abstractNumId w:val="2"/>
  </w:num>
  <w:num w:numId="16">
    <w:abstractNumId w:val="15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127"/>
    <w:rsid w:val="000012E7"/>
    <w:rsid w:val="00052AD9"/>
    <w:rsid w:val="00070BE4"/>
    <w:rsid w:val="000823C8"/>
    <w:rsid w:val="00091846"/>
    <w:rsid w:val="000C2561"/>
    <w:rsid w:val="000E196A"/>
    <w:rsid w:val="00126C79"/>
    <w:rsid w:val="00147437"/>
    <w:rsid w:val="00170C02"/>
    <w:rsid w:val="002E272C"/>
    <w:rsid w:val="002F71CB"/>
    <w:rsid w:val="00371254"/>
    <w:rsid w:val="003916B4"/>
    <w:rsid w:val="003A57F5"/>
    <w:rsid w:val="0043003A"/>
    <w:rsid w:val="00442CAD"/>
    <w:rsid w:val="00484952"/>
    <w:rsid w:val="00485A65"/>
    <w:rsid w:val="004A4B97"/>
    <w:rsid w:val="004B7A64"/>
    <w:rsid w:val="004C299C"/>
    <w:rsid w:val="006D6592"/>
    <w:rsid w:val="006E2971"/>
    <w:rsid w:val="006E7087"/>
    <w:rsid w:val="007000D9"/>
    <w:rsid w:val="00702127"/>
    <w:rsid w:val="00744892"/>
    <w:rsid w:val="007819DC"/>
    <w:rsid w:val="008A7DA8"/>
    <w:rsid w:val="008D1F9E"/>
    <w:rsid w:val="008E7682"/>
    <w:rsid w:val="009246A0"/>
    <w:rsid w:val="009708DA"/>
    <w:rsid w:val="00984EA4"/>
    <w:rsid w:val="0099646D"/>
    <w:rsid w:val="009A009A"/>
    <w:rsid w:val="009B24CF"/>
    <w:rsid w:val="009D1806"/>
    <w:rsid w:val="00A707FC"/>
    <w:rsid w:val="00A80265"/>
    <w:rsid w:val="00AA0E8B"/>
    <w:rsid w:val="00AF5203"/>
    <w:rsid w:val="00CC3CFA"/>
    <w:rsid w:val="00D44665"/>
    <w:rsid w:val="00DB3144"/>
    <w:rsid w:val="00E648DF"/>
    <w:rsid w:val="00EC0897"/>
    <w:rsid w:val="00ED3885"/>
    <w:rsid w:val="00EE5773"/>
    <w:rsid w:val="00EF05C9"/>
    <w:rsid w:val="00F41221"/>
    <w:rsid w:val="00FD1862"/>
    <w:rsid w:val="00FF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71"/>
    <w:pPr>
      <w:spacing w:after="160" w:line="259" w:lineRule="auto"/>
      <w:jc w:val="center"/>
    </w:pPr>
    <w:rPr>
      <w:rFonts w:ascii="Times New Roman" w:hAnsi="Times New Roman"/>
      <w:color w:val="000000"/>
      <w:kern w:val="2"/>
      <w:sz w:val="28"/>
      <w:lang w:val="uk-UA"/>
    </w:rPr>
  </w:style>
  <w:style w:type="paragraph" w:styleId="Heading1">
    <w:name w:val="heading 1"/>
    <w:basedOn w:val="Normal"/>
    <w:link w:val="Heading1Char"/>
    <w:uiPriority w:val="99"/>
    <w:qFormat/>
    <w:rsid w:val="003A57F5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2AD9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57F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2AD9"/>
    <w:rPr>
      <w:rFonts w:ascii="Calibri Light" w:hAnsi="Calibri Light" w:cs="Times New Roman"/>
      <w:color w:val="1F3763"/>
      <w:sz w:val="24"/>
      <w:szCs w:val="24"/>
      <w:lang w:val="uk-UA"/>
    </w:rPr>
  </w:style>
  <w:style w:type="paragraph" w:styleId="ListParagraph">
    <w:name w:val="List Paragraph"/>
    <w:basedOn w:val="Normal"/>
    <w:uiPriority w:val="99"/>
    <w:qFormat/>
    <w:rsid w:val="00442CA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D3885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ED3885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A802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730"/>
    <w:rPr>
      <w:rFonts w:ascii="Times New Roman" w:hAnsi="Times New Roman"/>
      <w:color w:val="000000"/>
      <w:kern w:val="2"/>
      <w:sz w:val="28"/>
      <w:lang w:val="uk-UA"/>
    </w:rPr>
  </w:style>
  <w:style w:type="character" w:styleId="PageNumber">
    <w:name w:val="page number"/>
    <w:basedOn w:val="DefaultParagraphFont"/>
    <w:uiPriority w:val="99"/>
    <w:rsid w:val="00A802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02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730"/>
    <w:rPr>
      <w:rFonts w:ascii="Times New Roman" w:hAnsi="Times New Roman"/>
      <w:color w:val="000000"/>
      <w:kern w:val="2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ie.nsc.ru:8101/~forsis/publ/poitiers/john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a.kpi.ua/server/api/core/bitstreams/c0004d85-2a89-480f-ac3f-24f74e96e94c/conten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1306</Words>
  <Characters>7450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ЗАСТОСУВАННЯ ЦИФРОВИХ СЕРВІСІВ В ПРАКТИЦІ БІЗНЕС-КОМІНІКАЦІЙ</dc:title>
  <dc:subject/>
  <dc:creator>Пользователь</dc:creator>
  <cp:keywords/>
  <dc:description/>
  <cp:lastModifiedBy>Пользователь Windows</cp:lastModifiedBy>
  <cp:revision>2</cp:revision>
  <cp:lastPrinted>2024-05-15T19:53:00Z</cp:lastPrinted>
  <dcterms:created xsi:type="dcterms:W3CDTF">2025-01-30T10:37:00Z</dcterms:created>
  <dcterms:modified xsi:type="dcterms:W3CDTF">2025-01-30T10:37:00Z</dcterms:modified>
</cp:coreProperties>
</file>