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E2" w:rsidRPr="002E1852" w:rsidRDefault="003879E2" w:rsidP="006E6E5B">
      <w:pPr>
        <w:spacing w:line="240" w:lineRule="auto"/>
        <w:jc w:val="center"/>
        <w:rPr>
          <w:rFonts w:ascii="Times New Roman" w:hAnsi="Times New Roman"/>
          <w:b/>
          <w:sz w:val="24"/>
          <w:szCs w:val="24"/>
          <w:lang w:val="uk-UA"/>
        </w:rPr>
      </w:pPr>
      <w:r w:rsidRPr="002E1852">
        <w:rPr>
          <w:rFonts w:ascii="Times New Roman" w:hAnsi="Times New Roman"/>
          <w:b/>
          <w:sz w:val="24"/>
          <w:szCs w:val="24"/>
          <w:lang w:val="uk-UA"/>
        </w:rPr>
        <w:t>СТРАТЕГІЇ ДИВЕРСИФІКАЦІЇ КОНСАЛТИНГОВИХ ПОСЛУГ ПРИ ВИХОДІ НА ПОЛЬСЬКИЙ РИНОК: ВИКЛИКИ ТА МОЖЛИВОСТІ</w:t>
      </w:r>
    </w:p>
    <w:p w:rsidR="003879E2" w:rsidRPr="002E1852" w:rsidRDefault="003879E2" w:rsidP="006E6E5B">
      <w:pPr>
        <w:spacing w:line="240" w:lineRule="auto"/>
        <w:jc w:val="center"/>
        <w:rPr>
          <w:rFonts w:ascii="Times New Roman" w:hAnsi="Times New Roman"/>
          <w:b/>
          <w:sz w:val="24"/>
          <w:szCs w:val="24"/>
          <w:lang w:val="uk-UA"/>
        </w:rPr>
      </w:pPr>
      <w:r w:rsidRPr="002E1852">
        <w:rPr>
          <w:rFonts w:ascii="Times New Roman" w:hAnsi="Times New Roman"/>
          <w:b/>
          <w:sz w:val="24"/>
          <w:szCs w:val="24"/>
          <w:lang w:val="uk-UA"/>
        </w:rPr>
        <w:t>STRATEGIES FOR DIVERSIFICATION OF CONSULTING SERVICES WHEN ENTERING THE POLISH MARKET: CHALLENGES AND OPPORTUNITIES</w:t>
      </w:r>
    </w:p>
    <w:p w:rsidR="003879E2" w:rsidRPr="002E1852" w:rsidRDefault="003879E2" w:rsidP="00703C08">
      <w:pPr>
        <w:spacing w:after="0" w:line="240" w:lineRule="auto"/>
        <w:jc w:val="center"/>
        <w:rPr>
          <w:rFonts w:ascii="Times New Roman" w:hAnsi="Times New Roman"/>
          <w:bCs/>
          <w:sz w:val="24"/>
          <w:szCs w:val="24"/>
          <w:shd w:val="clear" w:color="auto" w:fill="FFFFFF"/>
          <w:lang w:val="uk-UA"/>
        </w:rPr>
      </w:pPr>
      <w:r w:rsidRPr="002E1852">
        <w:rPr>
          <w:rFonts w:ascii="Times New Roman" w:hAnsi="Times New Roman"/>
          <w:sz w:val="24"/>
          <w:szCs w:val="24"/>
          <w:lang w:val="uk-UA"/>
        </w:rPr>
        <w:t>Нау</w:t>
      </w:r>
      <w:r w:rsidRPr="002E1852">
        <w:rPr>
          <w:rFonts w:ascii="Times New Roman" w:hAnsi="Times New Roman"/>
          <w:sz w:val="24"/>
          <w:szCs w:val="24"/>
          <w:shd w:val="clear" w:color="auto" w:fill="FFFFFF"/>
          <w:lang w:val="uk-UA"/>
        </w:rPr>
        <w:t xml:space="preserve">ковий керівник: </w:t>
      </w:r>
      <w:r>
        <w:rPr>
          <w:rFonts w:ascii="Times New Roman" w:hAnsi="Times New Roman"/>
          <w:sz w:val="24"/>
          <w:szCs w:val="24"/>
          <w:shd w:val="clear" w:color="auto" w:fill="FFFFFF"/>
          <w:lang w:val="uk-UA"/>
        </w:rPr>
        <w:t>к</w:t>
      </w:r>
      <w:r w:rsidRPr="002E1852">
        <w:rPr>
          <w:rFonts w:ascii="Times New Roman" w:hAnsi="Times New Roman"/>
          <w:bCs/>
          <w:sz w:val="24"/>
          <w:szCs w:val="24"/>
          <w:shd w:val="clear" w:color="auto" w:fill="FFFFFF"/>
          <w:lang w:val="uk-UA"/>
        </w:rPr>
        <w:t xml:space="preserve">анд. екон. наук, </w:t>
      </w:r>
      <w:r>
        <w:rPr>
          <w:rFonts w:ascii="Times New Roman" w:hAnsi="Times New Roman"/>
          <w:bCs/>
          <w:sz w:val="24"/>
          <w:szCs w:val="24"/>
          <w:shd w:val="clear" w:color="auto" w:fill="FFFFFF"/>
          <w:lang w:val="uk-UA"/>
        </w:rPr>
        <w:t>доц.</w:t>
      </w:r>
      <w:r w:rsidRPr="002E1852">
        <w:rPr>
          <w:rFonts w:ascii="Times New Roman" w:hAnsi="Times New Roman"/>
          <w:bCs/>
          <w:sz w:val="24"/>
          <w:szCs w:val="24"/>
          <w:shd w:val="clear" w:color="auto" w:fill="FFFFFF"/>
          <w:lang w:val="uk-UA"/>
        </w:rPr>
        <w:t xml:space="preserve"> </w:t>
      </w:r>
      <w:r w:rsidRPr="002E1852">
        <w:rPr>
          <w:rFonts w:ascii="Times New Roman" w:hAnsi="Times New Roman"/>
          <w:sz w:val="24"/>
          <w:szCs w:val="24"/>
          <w:lang w:val="uk-UA"/>
        </w:rPr>
        <w:t>кафедри міжнародного менеджменту та інновацій</w:t>
      </w:r>
    </w:p>
    <w:p w:rsidR="003879E2" w:rsidRPr="002E1852" w:rsidRDefault="003879E2" w:rsidP="00703C08">
      <w:pPr>
        <w:spacing w:after="0" w:line="240" w:lineRule="auto"/>
        <w:jc w:val="center"/>
        <w:rPr>
          <w:rFonts w:ascii="Times New Roman" w:hAnsi="Times New Roman"/>
          <w:sz w:val="24"/>
          <w:szCs w:val="24"/>
          <w:shd w:val="clear" w:color="auto" w:fill="FFFFFF"/>
          <w:lang w:val="uk-UA"/>
        </w:rPr>
      </w:pPr>
      <w:r w:rsidRPr="002E1852">
        <w:rPr>
          <w:rFonts w:ascii="Times New Roman" w:hAnsi="Times New Roman"/>
          <w:bCs/>
          <w:sz w:val="24"/>
          <w:szCs w:val="24"/>
          <w:shd w:val="clear" w:color="auto" w:fill="FFFFFF"/>
          <w:lang w:val="uk-UA"/>
        </w:rPr>
        <w:t>Ковалик Оксана Анатоліївна</w:t>
      </w:r>
    </w:p>
    <w:p w:rsidR="003879E2" w:rsidRPr="002E1852" w:rsidRDefault="003879E2" w:rsidP="00703C08">
      <w:pPr>
        <w:spacing w:after="0" w:line="240" w:lineRule="auto"/>
        <w:jc w:val="center"/>
        <w:rPr>
          <w:rFonts w:ascii="Times New Roman" w:hAnsi="Times New Roman"/>
          <w:b/>
          <w:sz w:val="24"/>
          <w:szCs w:val="24"/>
          <w:shd w:val="clear" w:color="auto" w:fill="FFFFFF"/>
          <w:lang w:val="uk-UA"/>
        </w:rPr>
      </w:pPr>
      <w:r w:rsidRPr="002E1852">
        <w:rPr>
          <w:rFonts w:ascii="Times New Roman" w:hAnsi="Times New Roman"/>
          <w:sz w:val="24"/>
          <w:szCs w:val="24"/>
          <w:lang w:val="uk-UA"/>
        </w:rPr>
        <w:t>Здобувач</w:t>
      </w:r>
      <w:r>
        <w:rPr>
          <w:rFonts w:ascii="Times New Roman" w:hAnsi="Times New Roman"/>
          <w:sz w:val="24"/>
          <w:szCs w:val="24"/>
          <w:lang w:val="uk-UA"/>
        </w:rPr>
        <w:t>ка</w:t>
      </w:r>
      <w:r w:rsidRPr="002E1852">
        <w:rPr>
          <w:rFonts w:ascii="Times New Roman" w:hAnsi="Times New Roman"/>
          <w:sz w:val="24"/>
          <w:szCs w:val="24"/>
          <w:lang w:val="uk-UA"/>
        </w:rPr>
        <w:t xml:space="preserve"> вищої освіти: </w:t>
      </w:r>
      <w:r w:rsidRPr="002E1852">
        <w:rPr>
          <w:rFonts w:ascii="Times New Roman" w:hAnsi="Times New Roman"/>
          <w:sz w:val="24"/>
          <w:szCs w:val="24"/>
          <w:shd w:val="clear" w:color="auto" w:fill="FFFFFF"/>
          <w:lang w:val="uk-UA"/>
        </w:rPr>
        <w:t>Віговська Вікторія Олегівна</w:t>
      </w:r>
    </w:p>
    <w:p w:rsidR="003879E2" w:rsidRPr="002E1852" w:rsidRDefault="003879E2" w:rsidP="00703C08">
      <w:pPr>
        <w:spacing w:after="0" w:line="240" w:lineRule="auto"/>
        <w:jc w:val="center"/>
        <w:rPr>
          <w:rFonts w:ascii="Times New Roman" w:hAnsi="Times New Roman"/>
          <w:sz w:val="24"/>
          <w:szCs w:val="24"/>
          <w:shd w:val="clear" w:color="auto" w:fill="FFFFFF"/>
          <w:lang w:val="en-US"/>
        </w:rPr>
      </w:pPr>
      <w:r w:rsidRPr="002E1852">
        <w:rPr>
          <w:rFonts w:ascii="Times New Roman" w:hAnsi="Times New Roman"/>
          <w:sz w:val="24"/>
          <w:szCs w:val="24"/>
          <w:lang w:val="en-US"/>
        </w:rPr>
        <w:t>Supervisor</w:t>
      </w:r>
      <w:r w:rsidRPr="002E1852">
        <w:rPr>
          <w:rFonts w:ascii="Times New Roman" w:hAnsi="Times New Roman"/>
          <w:sz w:val="24"/>
          <w:szCs w:val="24"/>
          <w:shd w:val="clear" w:color="auto" w:fill="FFFFFF"/>
          <w:lang w:val="en-US"/>
        </w:rPr>
        <w:t>: Candidate of Economic Sciences, Associate Professor of the Department of International Management and Innovations</w:t>
      </w:r>
    </w:p>
    <w:p w:rsidR="003879E2" w:rsidRPr="002E1852" w:rsidRDefault="003879E2" w:rsidP="00703C08">
      <w:pPr>
        <w:spacing w:after="0" w:line="240" w:lineRule="auto"/>
        <w:jc w:val="center"/>
        <w:rPr>
          <w:rFonts w:ascii="Times New Roman" w:hAnsi="Times New Roman"/>
          <w:sz w:val="24"/>
          <w:szCs w:val="24"/>
          <w:shd w:val="clear" w:color="auto" w:fill="FFFFFF"/>
          <w:lang w:val="en-US"/>
        </w:rPr>
      </w:pPr>
      <w:r w:rsidRPr="002E1852">
        <w:rPr>
          <w:rFonts w:ascii="Times New Roman" w:hAnsi="Times New Roman"/>
          <w:sz w:val="24"/>
          <w:szCs w:val="24"/>
          <w:shd w:val="clear" w:color="auto" w:fill="FFFFFF"/>
          <w:lang w:val="en-US"/>
        </w:rPr>
        <w:t>Kovalyk Oksana Anatoliivna</w:t>
      </w:r>
    </w:p>
    <w:p w:rsidR="003879E2" w:rsidRDefault="003879E2" w:rsidP="00703C08">
      <w:pPr>
        <w:spacing w:after="0" w:line="240" w:lineRule="auto"/>
        <w:jc w:val="center"/>
        <w:rPr>
          <w:rFonts w:ascii="Times New Roman" w:hAnsi="Times New Roman"/>
          <w:sz w:val="24"/>
          <w:szCs w:val="24"/>
          <w:shd w:val="clear" w:color="auto" w:fill="FFFFFF"/>
          <w:lang w:val="en-US"/>
        </w:rPr>
      </w:pPr>
      <w:r w:rsidRPr="002E1852">
        <w:rPr>
          <w:rFonts w:ascii="Times New Roman" w:hAnsi="Times New Roman"/>
          <w:sz w:val="24"/>
          <w:szCs w:val="24"/>
          <w:shd w:val="clear" w:color="auto" w:fill="FFFFFF"/>
          <w:lang w:val="en-US"/>
        </w:rPr>
        <w:t>Higher education applicant: Vigovska</w:t>
      </w:r>
      <w:r w:rsidRPr="002E1852">
        <w:rPr>
          <w:rFonts w:ascii="Times New Roman" w:hAnsi="Times New Roman"/>
          <w:sz w:val="24"/>
          <w:szCs w:val="24"/>
          <w:shd w:val="clear" w:color="auto" w:fill="FFFFFF"/>
          <w:lang w:val="uk-UA"/>
        </w:rPr>
        <w:t xml:space="preserve"> </w:t>
      </w:r>
      <w:r w:rsidRPr="002E1852">
        <w:rPr>
          <w:rFonts w:ascii="Times New Roman" w:hAnsi="Times New Roman"/>
          <w:sz w:val="24"/>
          <w:szCs w:val="24"/>
          <w:shd w:val="clear" w:color="auto" w:fill="FFFFFF"/>
          <w:lang w:val="en-US"/>
        </w:rPr>
        <w:t>Viktori</w:t>
      </w:r>
      <w:r>
        <w:rPr>
          <w:rFonts w:ascii="Times New Roman" w:hAnsi="Times New Roman"/>
          <w:sz w:val="24"/>
          <w:szCs w:val="24"/>
          <w:shd w:val="clear" w:color="auto" w:fill="FFFFFF"/>
          <w:lang w:val="en-US"/>
        </w:rPr>
        <w:t>i</w:t>
      </w:r>
      <w:r w:rsidRPr="002E1852">
        <w:rPr>
          <w:rFonts w:ascii="Times New Roman" w:hAnsi="Times New Roman"/>
          <w:sz w:val="24"/>
          <w:szCs w:val="24"/>
          <w:shd w:val="clear" w:color="auto" w:fill="FFFFFF"/>
          <w:lang w:val="en-US"/>
        </w:rPr>
        <w:t>a</w:t>
      </w:r>
      <w:r w:rsidRPr="002E1852">
        <w:rPr>
          <w:rFonts w:ascii="Times New Roman" w:hAnsi="Times New Roman"/>
          <w:sz w:val="24"/>
          <w:szCs w:val="24"/>
          <w:shd w:val="clear" w:color="auto" w:fill="FFFFFF"/>
          <w:lang w:val="uk-UA"/>
        </w:rPr>
        <w:t xml:space="preserve"> </w:t>
      </w:r>
      <w:r w:rsidRPr="002E1852">
        <w:rPr>
          <w:rFonts w:ascii="Times New Roman" w:hAnsi="Times New Roman"/>
          <w:sz w:val="24"/>
          <w:szCs w:val="24"/>
          <w:shd w:val="clear" w:color="auto" w:fill="FFFFFF"/>
          <w:lang w:val="en-US"/>
        </w:rPr>
        <w:t>Olegivna</w:t>
      </w:r>
    </w:p>
    <w:p w:rsidR="003879E2" w:rsidRPr="002E1852" w:rsidRDefault="003879E2" w:rsidP="00703C08">
      <w:pPr>
        <w:spacing w:after="0" w:line="240" w:lineRule="auto"/>
        <w:jc w:val="center"/>
        <w:rPr>
          <w:rFonts w:ascii="Times New Roman" w:hAnsi="Times New Roman"/>
          <w:sz w:val="24"/>
          <w:szCs w:val="24"/>
          <w:shd w:val="clear" w:color="auto" w:fill="FFFFFF"/>
          <w:lang w:val="en-US"/>
        </w:rPr>
      </w:pPr>
    </w:p>
    <w:p w:rsidR="003879E2" w:rsidRPr="002E1852" w:rsidRDefault="003879E2" w:rsidP="00703C08">
      <w:pPr>
        <w:spacing w:after="0" w:line="240" w:lineRule="auto"/>
        <w:ind w:firstLine="709"/>
        <w:jc w:val="both"/>
        <w:rPr>
          <w:rFonts w:ascii="Times New Roman" w:hAnsi="Times New Roman"/>
          <w:sz w:val="24"/>
          <w:szCs w:val="24"/>
          <w:lang w:val="uk-UA"/>
        </w:rPr>
      </w:pPr>
      <w:r w:rsidRPr="002E1852">
        <w:rPr>
          <w:rFonts w:ascii="Times New Roman" w:hAnsi="Times New Roman"/>
          <w:b/>
          <w:sz w:val="24"/>
          <w:szCs w:val="24"/>
          <w:shd w:val="clear" w:color="auto" w:fill="FFFFFF"/>
          <w:lang w:val="uk-UA"/>
        </w:rPr>
        <w:t>Анотація</w:t>
      </w:r>
      <w:r w:rsidRPr="002E1852">
        <w:rPr>
          <w:rFonts w:ascii="Times New Roman" w:hAnsi="Times New Roman"/>
          <w:sz w:val="24"/>
          <w:szCs w:val="24"/>
          <w:shd w:val="clear" w:color="auto" w:fill="FFFFFF"/>
          <w:lang w:val="uk-UA"/>
        </w:rPr>
        <w:t xml:space="preserve">: </w:t>
      </w:r>
      <w:r w:rsidRPr="002E1852">
        <w:rPr>
          <w:rFonts w:ascii="Times New Roman" w:hAnsi="Times New Roman"/>
          <w:sz w:val="24"/>
          <w:szCs w:val="24"/>
          <w:lang w:val="uk-UA"/>
        </w:rPr>
        <w:t>В роботі проаналізовано основні підходи до диверсифікації консалтингових послуг у контексті виходу компаній на зовнішні ринки, зокрема польський. Визначено ключові виклики, які постають перед консалтинговими агентствами, а також перспективи розвитку послуг у відповідь на сучасні тренди: цифровізацію, еко-орієнтованість, попит на гнучкі рішення. Окрема увага приділена інноваційним формам консалтингу, що дозволяють успішно адаптуватися до польського бізнес-середовища.</w:t>
      </w:r>
    </w:p>
    <w:p w:rsidR="003879E2" w:rsidRPr="002E1852" w:rsidRDefault="003879E2" w:rsidP="00703C08">
      <w:pPr>
        <w:spacing w:after="0" w:line="240" w:lineRule="auto"/>
        <w:ind w:firstLine="709"/>
        <w:jc w:val="both"/>
        <w:rPr>
          <w:rFonts w:ascii="Times New Roman" w:hAnsi="Times New Roman"/>
          <w:sz w:val="24"/>
          <w:szCs w:val="24"/>
          <w:lang w:val="uk-UA"/>
        </w:rPr>
      </w:pPr>
      <w:r w:rsidRPr="002E1852">
        <w:rPr>
          <w:rFonts w:ascii="Times New Roman" w:hAnsi="Times New Roman"/>
          <w:b/>
          <w:sz w:val="24"/>
          <w:szCs w:val="24"/>
          <w:lang w:val="uk-UA"/>
        </w:rPr>
        <w:t>Ключові слова</w:t>
      </w:r>
      <w:r w:rsidRPr="002E1852">
        <w:rPr>
          <w:rFonts w:ascii="Times New Roman" w:hAnsi="Times New Roman"/>
          <w:sz w:val="24"/>
          <w:szCs w:val="24"/>
          <w:lang w:val="uk-UA"/>
        </w:rPr>
        <w:t>: консалтинг, стратегія, диверсифікація, Польща, зовнішні ринки, бізнес-послуги, цифрові рішення.</w:t>
      </w:r>
    </w:p>
    <w:p w:rsidR="003879E2" w:rsidRPr="002E1852" w:rsidRDefault="003879E2" w:rsidP="00703C08">
      <w:pPr>
        <w:spacing w:after="0" w:line="240" w:lineRule="auto"/>
        <w:ind w:firstLine="709"/>
        <w:jc w:val="both"/>
        <w:rPr>
          <w:rFonts w:ascii="Times New Roman" w:hAnsi="Times New Roman"/>
          <w:sz w:val="24"/>
          <w:szCs w:val="24"/>
          <w:lang w:val="en-US"/>
        </w:rPr>
      </w:pPr>
      <w:r w:rsidRPr="002E1852">
        <w:rPr>
          <w:rFonts w:ascii="Times New Roman" w:hAnsi="Times New Roman"/>
          <w:b/>
          <w:sz w:val="24"/>
          <w:lang w:val="en-US"/>
        </w:rPr>
        <w:t>Annotation</w:t>
      </w:r>
      <w:r w:rsidRPr="002E1852">
        <w:rPr>
          <w:rFonts w:ascii="Times New Roman" w:hAnsi="Times New Roman"/>
          <w:b/>
          <w:sz w:val="24"/>
          <w:szCs w:val="24"/>
          <w:lang w:val="en-US"/>
        </w:rPr>
        <w:t>:</w:t>
      </w:r>
      <w:r w:rsidRPr="002E1852">
        <w:rPr>
          <w:rFonts w:ascii="Times New Roman" w:hAnsi="Times New Roman"/>
          <w:sz w:val="24"/>
          <w:szCs w:val="24"/>
          <w:lang w:val="en-US"/>
        </w:rPr>
        <w:t xml:space="preserve"> The paper analyzes the main approaches to the diversification of consulting services in the context of companies entering foreign markets, in particular the Polish market. The key challenges facing consulting agencies are identified, as well as the prospects for the development of services in response to modern trends: digitalization, eco-orientation, demand for flexible solutions. Special attention is paid to innovative forms of consulting that allow successful adaptation to the Polish business environment. </w:t>
      </w:r>
    </w:p>
    <w:p w:rsidR="003879E2" w:rsidRPr="002E1852" w:rsidRDefault="003879E2" w:rsidP="00703C08">
      <w:pPr>
        <w:spacing w:after="0" w:line="240" w:lineRule="auto"/>
        <w:ind w:firstLine="709"/>
        <w:jc w:val="both"/>
        <w:rPr>
          <w:rStyle w:val="rynqvb"/>
          <w:rFonts w:ascii="Times New Roman" w:hAnsi="Times New Roman"/>
          <w:color w:val="3C4043"/>
          <w:sz w:val="24"/>
          <w:szCs w:val="24"/>
          <w:shd w:val="clear" w:color="auto" w:fill="F5F5F5"/>
          <w:lang w:val="en-US"/>
        </w:rPr>
      </w:pPr>
      <w:r w:rsidRPr="002E1852">
        <w:rPr>
          <w:rFonts w:ascii="Times New Roman" w:hAnsi="Times New Roman"/>
          <w:b/>
          <w:sz w:val="24"/>
          <w:szCs w:val="24"/>
          <w:lang w:val="en-US"/>
        </w:rPr>
        <w:t>Keywords</w:t>
      </w:r>
      <w:r w:rsidRPr="002E1852">
        <w:rPr>
          <w:rFonts w:ascii="Times New Roman" w:hAnsi="Times New Roman"/>
          <w:sz w:val="24"/>
          <w:szCs w:val="24"/>
          <w:lang w:val="en-US"/>
        </w:rPr>
        <w:t xml:space="preserve">: consulting, strategy, diversification, </w:t>
      </w:r>
      <w:smartTag w:uri="urn:schemas-microsoft-com:office:smarttags" w:element="country-region">
        <w:smartTag w:uri="urn:schemas-microsoft-com:office:smarttags" w:element="place">
          <w:r w:rsidRPr="002E1852">
            <w:rPr>
              <w:rFonts w:ascii="Times New Roman" w:hAnsi="Times New Roman"/>
              <w:sz w:val="24"/>
              <w:szCs w:val="24"/>
              <w:lang w:val="en-US"/>
            </w:rPr>
            <w:t>Poland</w:t>
          </w:r>
        </w:smartTag>
      </w:smartTag>
      <w:r w:rsidRPr="002E1852">
        <w:rPr>
          <w:rFonts w:ascii="Times New Roman" w:hAnsi="Times New Roman"/>
          <w:sz w:val="24"/>
          <w:szCs w:val="24"/>
          <w:lang w:val="en-US"/>
        </w:rPr>
        <w:t>, foreign markets, business services, digital solutions</w:t>
      </w:r>
      <w:r w:rsidRPr="002E1852">
        <w:rPr>
          <w:rStyle w:val="rynqvb"/>
          <w:rFonts w:ascii="Times New Roman" w:hAnsi="Times New Roman"/>
          <w:color w:val="3C4043"/>
          <w:sz w:val="24"/>
          <w:szCs w:val="24"/>
          <w:shd w:val="clear" w:color="auto" w:fill="F5F5F5"/>
          <w:lang w:val="en-US"/>
        </w:rPr>
        <w:t>.</w:t>
      </w:r>
    </w:p>
    <w:p w:rsidR="003879E2" w:rsidRPr="002E1852" w:rsidRDefault="003879E2" w:rsidP="00703C08">
      <w:pPr>
        <w:spacing w:after="0" w:line="240" w:lineRule="auto"/>
        <w:ind w:firstLine="709"/>
        <w:jc w:val="both"/>
        <w:rPr>
          <w:rStyle w:val="rynqvb"/>
          <w:rFonts w:ascii="Times New Roman" w:hAnsi="Times New Roman"/>
          <w:color w:val="3C4043"/>
          <w:sz w:val="24"/>
          <w:szCs w:val="24"/>
          <w:shd w:val="clear" w:color="auto" w:fill="F5F5F5"/>
          <w:lang w:val="en-US"/>
        </w:rPr>
      </w:pPr>
    </w:p>
    <w:p w:rsidR="003879E2" w:rsidRPr="002E1852" w:rsidRDefault="003879E2" w:rsidP="00703C08">
      <w:pPr>
        <w:spacing w:after="0" w:line="240" w:lineRule="auto"/>
        <w:ind w:firstLine="709"/>
        <w:jc w:val="both"/>
        <w:rPr>
          <w:rFonts w:ascii="Times New Roman" w:hAnsi="Times New Roman"/>
          <w:sz w:val="24"/>
          <w:szCs w:val="24"/>
          <w:lang w:val="uk-UA"/>
        </w:rPr>
      </w:pPr>
      <w:r w:rsidRPr="002E1852">
        <w:rPr>
          <w:rFonts w:ascii="Times New Roman" w:hAnsi="Times New Roman"/>
          <w:sz w:val="24"/>
          <w:szCs w:val="24"/>
          <w:lang w:val="uk-UA"/>
        </w:rPr>
        <w:t>Польща є одним із найпривабливіших ринків Східної Європи для міжнародних компаній, зокрема у сфері професійних послуг. Розвинена інфраструктура, стабільне законодавче поле, інтеграція у структури ЄС та відкритість до нових технологій роблять польський ринок перспективним для консалтингових компаній. Проте вихід на новий ринок супроводжується потребою адаптації бізнес-моделі та, зокрема, диверсифікації консалтингових послуг відповідно до локальних очікувань та умов.</w:t>
      </w:r>
    </w:p>
    <w:p w:rsidR="003879E2" w:rsidRPr="002E1852" w:rsidRDefault="003879E2" w:rsidP="00703C08">
      <w:pPr>
        <w:spacing w:after="0" w:line="240" w:lineRule="auto"/>
        <w:ind w:firstLine="709"/>
        <w:jc w:val="both"/>
        <w:rPr>
          <w:rFonts w:ascii="Times New Roman" w:hAnsi="Times New Roman"/>
          <w:sz w:val="24"/>
          <w:szCs w:val="24"/>
          <w:lang w:val="uk-UA"/>
        </w:rPr>
      </w:pPr>
      <w:r w:rsidRPr="002E1852">
        <w:rPr>
          <w:rFonts w:ascii="Times New Roman" w:hAnsi="Times New Roman"/>
          <w:sz w:val="24"/>
          <w:szCs w:val="24"/>
          <w:lang w:val="uk-UA"/>
        </w:rPr>
        <w:t>Диверсифікація консалтингових послуг означає цілеспрямоване розширення, оновлення та адаптацію форм і напрямів надання професійних консультацій, відповідно до змін у попиті, технологіях, економічному середовищі та специфіці цільового ринку. Для компаній, які виходять на нові географічні ринки, зокрема польський, диверсифікація виступає не лише інструментом конкурентної переваги, а й необхідною умовою адаптації до локального середовища.</w:t>
      </w:r>
    </w:p>
    <w:p w:rsidR="003879E2" w:rsidRPr="002E1852" w:rsidRDefault="003879E2" w:rsidP="00703C08">
      <w:pPr>
        <w:spacing w:after="0" w:line="240" w:lineRule="auto"/>
        <w:ind w:firstLine="709"/>
        <w:jc w:val="both"/>
        <w:rPr>
          <w:rFonts w:ascii="Times New Roman" w:hAnsi="Times New Roman"/>
          <w:sz w:val="24"/>
          <w:szCs w:val="24"/>
          <w:lang w:val="uk-UA"/>
        </w:rPr>
      </w:pPr>
      <w:r w:rsidRPr="002E1852">
        <w:rPr>
          <w:rStyle w:val="Strong"/>
          <w:rFonts w:ascii="Times New Roman" w:hAnsi="Times New Roman"/>
          <w:b w:val="0"/>
          <w:sz w:val="24"/>
          <w:szCs w:val="24"/>
          <w:lang w:val="uk-UA"/>
        </w:rPr>
        <w:t>Галузева диверсифікація</w:t>
      </w:r>
      <w:r w:rsidRPr="002E1852">
        <w:rPr>
          <w:rFonts w:ascii="Times New Roman" w:hAnsi="Times New Roman"/>
          <w:sz w:val="24"/>
          <w:szCs w:val="24"/>
          <w:lang w:val="uk-UA"/>
        </w:rPr>
        <w:t xml:space="preserve"> консалтингових послуг передбачає розширення їхнього спектра з урахуванням специфіки різних секторів економіки та потреб клієнтів у конкретних галузях. Одним із поширених напрямів є </w:t>
      </w:r>
      <w:r w:rsidRPr="002E1852">
        <w:rPr>
          <w:rStyle w:val="Strong"/>
          <w:rFonts w:ascii="Times New Roman" w:hAnsi="Times New Roman"/>
          <w:b w:val="0"/>
          <w:sz w:val="24"/>
          <w:szCs w:val="24"/>
          <w:lang w:val="uk-UA"/>
        </w:rPr>
        <w:t>фінансовий консалтинг</w:t>
      </w:r>
      <w:r w:rsidRPr="002E1852">
        <w:rPr>
          <w:rFonts w:ascii="Times New Roman" w:hAnsi="Times New Roman"/>
          <w:sz w:val="24"/>
          <w:szCs w:val="24"/>
          <w:lang w:val="uk-UA"/>
        </w:rPr>
        <w:t xml:space="preserve">, що охоплює податкове планування, розробку інвестиційних стратегій, а також аудит фінансової звітності та управління ризиками. </w:t>
      </w:r>
      <w:r w:rsidRPr="002E1852">
        <w:rPr>
          <w:rStyle w:val="Strong"/>
          <w:rFonts w:ascii="Times New Roman" w:hAnsi="Times New Roman"/>
          <w:b w:val="0"/>
          <w:sz w:val="24"/>
          <w:szCs w:val="24"/>
          <w:lang w:val="uk-UA"/>
        </w:rPr>
        <w:t>Управлінський консалтинг</w:t>
      </w:r>
      <w:r w:rsidRPr="002E1852">
        <w:rPr>
          <w:rFonts w:ascii="Times New Roman" w:hAnsi="Times New Roman"/>
          <w:sz w:val="24"/>
          <w:szCs w:val="24"/>
          <w:lang w:val="uk-UA"/>
        </w:rPr>
        <w:t xml:space="preserve"> зосереджується на оптимізації організаційної структури підприємств, вдосконаленні систем прийняття управлінських рішень, розвитку корпоративної культури та покращенні внутрішніх бізнес-процесів. Окремий напрям – </w:t>
      </w:r>
      <w:r w:rsidRPr="002E1852">
        <w:rPr>
          <w:rStyle w:val="Strong"/>
          <w:rFonts w:ascii="Times New Roman" w:hAnsi="Times New Roman"/>
          <w:b w:val="0"/>
          <w:sz w:val="24"/>
          <w:szCs w:val="24"/>
          <w:lang w:val="uk-UA"/>
        </w:rPr>
        <w:t>ІТ-консалтинг</w:t>
      </w:r>
      <w:r w:rsidRPr="002E1852">
        <w:rPr>
          <w:rFonts w:ascii="Times New Roman" w:hAnsi="Times New Roman"/>
          <w:sz w:val="24"/>
          <w:szCs w:val="24"/>
          <w:lang w:val="uk-UA"/>
        </w:rPr>
        <w:t xml:space="preserve">, який включає впровадження цифрових рішень, забезпечення кібербезпеки, автоматизацію виробничих і адміністративних процесів, а також супровід цифрової трансформації компаній. У польському бізнес-середовищі особливим попитом користуються галузеві консультації для </w:t>
      </w:r>
      <w:r w:rsidRPr="002E1852">
        <w:rPr>
          <w:rStyle w:val="Strong"/>
          <w:rFonts w:ascii="Times New Roman" w:hAnsi="Times New Roman"/>
          <w:b w:val="0"/>
          <w:sz w:val="24"/>
          <w:szCs w:val="24"/>
          <w:lang w:val="uk-UA"/>
        </w:rPr>
        <w:t>малих і середніх підприємств (МСП)</w:t>
      </w:r>
      <w:r w:rsidRPr="002E1852">
        <w:rPr>
          <w:rFonts w:ascii="Times New Roman" w:hAnsi="Times New Roman"/>
          <w:sz w:val="24"/>
          <w:szCs w:val="24"/>
          <w:lang w:val="uk-UA"/>
        </w:rPr>
        <w:t>, які шукають ефективні рішення для підвищення конкурентоспроможності, зниження витрат і переходу до цифрових моделей управління. Галузева диверсифікація дозволяє консалтинговим компаніям гнучко реагувати на запити ринку та забезпечувати клієнтам високу спеціалізовану експертизу. Розглянемо, які існують виклики диверсифікації діяльності при виході на польський ринок (табл.</w:t>
      </w:r>
      <w:r w:rsidRPr="00E2723F">
        <w:rPr>
          <w:rFonts w:ascii="Times New Roman" w:hAnsi="Times New Roman"/>
          <w:sz w:val="24"/>
          <w:szCs w:val="24"/>
        </w:rPr>
        <w:t xml:space="preserve"> </w:t>
      </w:r>
      <w:r w:rsidRPr="002E1852">
        <w:rPr>
          <w:rFonts w:ascii="Times New Roman" w:hAnsi="Times New Roman"/>
          <w:sz w:val="24"/>
          <w:szCs w:val="24"/>
          <w:lang w:val="uk-UA"/>
        </w:rPr>
        <w:t>1).</w:t>
      </w:r>
    </w:p>
    <w:p w:rsidR="003879E2" w:rsidRPr="002E1852" w:rsidRDefault="003879E2" w:rsidP="00703C08">
      <w:pPr>
        <w:spacing w:after="0" w:line="240" w:lineRule="auto"/>
        <w:ind w:firstLine="709"/>
        <w:jc w:val="both"/>
        <w:rPr>
          <w:rFonts w:ascii="Times New Roman" w:hAnsi="Times New Roman"/>
          <w:sz w:val="24"/>
          <w:szCs w:val="24"/>
          <w:lang w:val="uk-UA"/>
        </w:rPr>
      </w:pPr>
    </w:p>
    <w:p w:rsidR="003879E2" w:rsidRDefault="003879E2" w:rsidP="00E2723F">
      <w:pPr>
        <w:spacing w:after="0" w:line="240" w:lineRule="auto"/>
        <w:jc w:val="right"/>
        <w:rPr>
          <w:rFonts w:ascii="Times New Roman" w:hAnsi="Times New Roman"/>
          <w:sz w:val="24"/>
          <w:szCs w:val="24"/>
          <w:lang w:val="en-US"/>
        </w:rPr>
      </w:pPr>
      <w:r w:rsidRPr="00E2723F">
        <w:rPr>
          <w:rFonts w:ascii="Times New Roman" w:hAnsi="Times New Roman"/>
          <w:b/>
          <w:sz w:val="24"/>
          <w:szCs w:val="24"/>
          <w:lang w:val="uk-UA"/>
        </w:rPr>
        <w:t>Таблиця 1</w:t>
      </w:r>
      <w:r w:rsidRPr="002E1852">
        <w:rPr>
          <w:rFonts w:ascii="Times New Roman" w:hAnsi="Times New Roman"/>
          <w:sz w:val="24"/>
          <w:szCs w:val="24"/>
          <w:lang w:val="uk-UA"/>
        </w:rPr>
        <w:t xml:space="preserve"> </w:t>
      </w:r>
    </w:p>
    <w:p w:rsidR="003879E2" w:rsidRPr="00E2723F" w:rsidRDefault="003879E2" w:rsidP="00E2723F">
      <w:pPr>
        <w:spacing w:after="0" w:line="240" w:lineRule="auto"/>
        <w:jc w:val="center"/>
        <w:rPr>
          <w:rFonts w:ascii="Times New Roman" w:hAnsi="Times New Roman"/>
          <w:b/>
          <w:sz w:val="24"/>
          <w:szCs w:val="24"/>
          <w:lang w:val="uk-UA"/>
        </w:rPr>
      </w:pPr>
      <w:r w:rsidRPr="00E2723F">
        <w:rPr>
          <w:rFonts w:ascii="Times New Roman" w:hAnsi="Times New Roman"/>
          <w:b/>
          <w:sz w:val="24"/>
          <w:szCs w:val="24"/>
          <w:lang w:val="uk-UA"/>
        </w:rPr>
        <w:t>Основні виклики диверсифікації діяльності при виході на польський ринок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3524"/>
        <w:gridCol w:w="5571"/>
      </w:tblGrid>
      <w:tr w:rsidR="003879E2" w:rsidRPr="00AD7EF5" w:rsidTr="00AD7EF5">
        <w:tc>
          <w:tcPr>
            <w:tcW w:w="445" w:type="dxa"/>
          </w:tcPr>
          <w:p w:rsidR="003879E2" w:rsidRPr="00AD7EF5" w:rsidRDefault="003879E2" w:rsidP="006836DB">
            <w:pPr>
              <w:spacing w:after="0" w:line="240" w:lineRule="auto"/>
              <w:rPr>
                <w:rFonts w:ascii="Times New Roman" w:hAnsi="Times New Roman"/>
                <w:lang w:val="uk-UA"/>
              </w:rPr>
            </w:pPr>
            <w:r w:rsidRPr="00AD7EF5">
              <w:rPr>
                <w:rFonts w:ascii="Times New Roman" w:hAnsi="Times New Roman"/>
                <w:lang w:val="uk-UA"/>
              </w:rPr>
              <w:t>№</w:t>
            </w:r>
          </w:p>
        </w:tc>
        <w:tc>
          <w:tcPr>
            <w:tcW w:w="3524" w:type="dxa"/>
          </w:tcPr>
          <w:p w:rsidR="003879E2" w:rsidRPr="00AD7EF5" w:rsidRDefault="003879E2" w:rsidP="00AD7EF5">
            <w:pPr>
              <w:spacing w:after="0" w:line="240" w:lineRule="auto"/>
              <w:jc w:val="center"/>
              <w:rPr>
                <w:rFonts w:ascii="Times New Roman" w:hAnsi="Times New Roman"/>
                <w:lang w:val="uk-UA"/>
              </w:rPr>
            </w:pPr>
            <w:r w:rsidRPr="00AD7EF5">
              <w:rPr>
                <w:rFonts w:ascii="Times New Roman" w:hAnsi="Times New Roman"/>
                <w:lang w:val="uk-UA"/>
              </w:rPr>
              <w:t>Основний виклик</w:t>
            </w:r>
          </w:p>
        </w:tc>
        <w:tc>
          <w:tcPr>
            <w:tcW w:w="5571" w:type="dxa"/>
          </w:tcPr>
          <w:p w:rsidR="003879E2" w:rsidRPr="00AD7EF5" w:rsidRDefault="003879E2" w:rsidP="006836DB">
            <w:pPr>
              <w:spacing w:after="0" w:line="240" w:lineRule="auto"/>
              <w:ind w:firstLine="709"/>
              <w:jc w:val="center"/>
              <w:rPr>
                <w:rFonts w:ascii="Times New Roman" w:hAnsi="Times New Roman"/>
                <w:lang w:val="uk-UA"/>
              </w:rPr>
            </w:pPr>
            <w:r w:rsidRPr="00AD7EF5">
              <w:rPr>
                <w:rFonts w:ascii="Times New Roman" w:hAnsi="Times New Roman"/>
                <w:lang w:val="uk-UA"/>
              </w:rPr>
              <w:t>Характеристика</w:t>
            </w:r>
          </w:p>
        </w:tc>
      </w:tr>
      <w:tr w:rsidR="003879E2" w:rsidRPr="00AD7EF5" w:rsidTr="00AD7EF5">
        <w:tc>
          <w:tcPr>
            <w:tcW w:w="445" w:type="dxa"/>
          </w:tcPr>
          <w:p w:rsidR="003879E2" w:rsidRPr="00AD7EF5" w:rsidRDefault="003879E2" w:rsidP="006836DB">
            <w:pPr>
              <w:spacing w:after="0" w:line="240" w:lineRule="auto"/>
              <w:jc w:val="both"/>
              <w:rPr>
                <w:rFonts w:ascii="Times New Roman" w:hAnsi="Times New Roman"/>
                <w:lang w:val="uk-UA"/>
              </w:rPr>
            </w:pPr>
            <w:r w:rsidRPr="00AD7EF5">
              <w:rPr>
                <w:rFonts w:ascii="Times New Roman" w:hAnsi="Times New Roman"/>
                <w:lang w:val="uk-UA"/>
              </w:rPr>
              <w:t>1</w:t>
            </w:r>
          </w:p>
        </w:tc>
        <w:tc>
          <w:tcPr>
            <w:tcW w:w="3524"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Високий рівень локальної конкуренції</w:t>
            </w:r>
          </w:p>
        </w:tc>
        <w:tc>
          <w:tcPr>
            <w:tcW w:w="5571"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Сильна присутність польських та європейських консалтингових фірм</w:t>
            </w:r>
          </w:p>
        </w:tc>
      </w:tr>
      <w:tr w:rsidR="003879E2" w:rsidRPr="00AD7EF5" w:rsidTr="00AD7EF5">
        <w:tc>
          <w:tcPr>
            <w:tcW w:w="445" w:type="dxa"/>
          </w:tcPr>
          <w:p w:rsidR="003879E2" w:rsidRPr="00AD7EF5" w:rsidRDefault="003879E2" w:rsidP="006836DB">
            <w:pPr>
              <w:spacing w:after="0" w:line="240" w:lineRule="auto"/>
              <w:jc w:val="both"/>
              <w:rPr>
                <w:rFonts w:ascii="Times New Roman" w:hAnsi="Times New Roman"/>
                <w:lang w:val="uk-UA"/>
              </w:rPr>
            </w:pPr>
            <w:r w:rsidRPr="00AD7EF5">
              <w:rPr>
                <w:rFonts w:ascii="Times New Roman" w:hAnsi="Times New Roman"/>
                <w:lang w:val="uk-UA"/>
              </w:rPr>
              <w:t>2</w:t>
            </w:r>
          </w:p>
        </w:tc>
        <w:tc>
          <w:tcPr>
            <w:tcW w:w="3524"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Культурна специфіка бізнес-комунікації</w:t>
            </w:r>
          </w:p>
        </w:tc>
        <w:tc>
          <w:tcPr>
            <w:tcW w:w="5571"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Необхідність адаптації контенту, стилю консультування</w:t>
            </w:r>
          </w:p>
        </w:tc>
      </w:tr>
      <w:tr w:rsidR="003879E2" w:rsidRPr="00AD7EF5" w:rsidTr="00AD7EF5">
        <w:tc>
          <w:tcPr>
            <w:tcW w:w="445" w:type="dxa"/>
          </w:tcPr>
          <w:p w:rsidR="003879E2" w:rsidRPr="00AD7EF5" w:rsidRDefault="003879E2" w:rsidP="006836DB">
            <w:pPr>
              <w:spacing w:after="0" w:line="240" w:lineRule="auto"/>
              <w:jc w:val="both"/>
              <w:rPr>
                <w:rFonts w:ascii="Times New Roman" w:hAnsi="Times New Roman"/>
                <w:lang w:val="uk-UA"/>
              </w:rPr>
            </w:pPr>
            <w:r w:rsidRPr="00AD7EF5">
              <w:rPr>
                <w:rFonts w:ascii="Times New Roman" w:hAnsi="Times New Roman"/>
                <w:lang w:val="uk-UA"/>
              </w:rPr>
              <w:t>3</w:t>
            </w:r>
          </w:p>
        </w:tc>
        <w:tc>
          <w:tcPr>
            <w:tcW w:w="3524"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Потреба в діджиталізації</w:t>
            </w:r>
          </w:p>
        </w:tc>
        <w:tc>
          <w:tcPr>
            <w:tcW w:w="5571"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Попит на онлайн-консалтинг, мобільні платформи</w:t>
            </w:r>
          </w:p>
        </w:tc>
      </w:tr>
      <w:tr w:rsidR="003879E2" w:rsidRPr="00AD7EF5" w:rsidTr="00AD7EF5">
        <w:tc>
          <w:tcPr>
            <w:tcW w:w="445" w:type="dxa"/>
          </w:tcPr>
          <w:p w:rsidR="003879E2" w:rsidRPr="00AD7EF5" w:rsidRDefault="003879E2" w:rsidP="006836DB">
            <w:pPr>
              <w:spacing w:after="0" w:line="240" w:lineRule="auto"/>
              <w:jc w:val="both"/>
              <w:rPr>
                <w:rFonts w:ascii="Times New Roman" w:hAnsi="Times New Roman"/>
                <w:lang w:val="uk-UA"/>
              </w:rPr>
            </w:pPr>
            <w:r w:rsidRPr="00AD7EF5">
              <w:rPr>
                <w:rFonts w:ascii="Times New Roman" w:hAnsi="Times New Roman"/>
                <w:lang w:val="uk-UA"/>
              </w:rPr>
              <w:t>4</w:t>
            </w:r>
          </w:p>
        </w:tc>
        <w:tc>
          <w:tcPr>
            <w:tcW w:w="3524"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Законодавчі нюанси</w:t>
            </w:r>
          </w:p>
        </w:tc>
        <w:tc>
          <w:tcPr>
            <w:tcW w:w="5571"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Відмінності у правовому регулюванні бізнес-послуг</w:t>
            </w:r>
          </w:p>
        </w:tc>
      </w:tr>
      <w:tr w:rsidR="003879E2" w:rsidRPr="00AD7EF5" w:rsidTr="00AD7EF5">
        <w:tc>
          <w:tcPr>
            <w:tcW w:w="445" w:type="dxa"/>
          </w:tcPr>
          <w:p w:rsidR="003879E2" w:rsidRPr="00AD7EF5" w:rsidRDefault="003879E2" w:rsidP="006836DB">
            <w:pPr>
              <w:spacing w:after="0" w:line="240" w:lineRule="auto"/>
              <w:jc w:val="both"/>
              <w:rPr>
                <w:rFonts w:ascii="Times New Roman" w:hAnsi="Times New Roman"/>
                <w:lang w:val="uk-UA"/>
              </w:rPr>
            </w:pPr>
            <w:r w:rsidRPr="00AD7EF5">
              <w:rPr>
                <w:rFonts w:ascii="Times New Roman" w:hAnsi="Times New Roman"/>
                <w:lang w:val="uk-UA"/>
              </w:rPr>
              <w:t>5</w:t>
            </w:r>
          </w:p>
        </w:tc>
        <w:tc>
          <w:tcPr>
            <w:tcW w:w="3524"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Високі очікування клієнтів</w:t>
            </w:r>
          </w:p>
        </w:tc>
        <w:tc>
          <w:tcPr>
            <w:tcW w:w="5571" w:type="dxa"/>
          </w:tcPr>
          <w:p w:rsidR="003879E2" w:rsidRPr="00AD7EF5" w:rsidRDefault="003879E2" w:rsidP="00AD7EF5">
            <w:pPr>
              <w:spacing w:after="0" w:line="240" w:lineRule="auto"/>
              <w:rPr>
                <w:rFonts w:ascii="Times New Roman" w:hAnsi="Times New Roman"/>
                <w:lang w:val="uk-UA"/>
              </w:rPr>
            </w:pPr>
            <w:r w:rsidRPr="00AD7EF5">
              <w:rPr>
                <w:rFonts w:ascii="Times New Roman" w:hAnsi="Times New Roman"/>
                <w:lang w:val="uk-UA"/>
              </w:rPr>
              <w:t>Вимога до швидкості, індивідуалізації та доказової ефективності</w:t>
            </w:r>
          </w:p>
        </w:tc>
      </w:tr>
    </w:tbl>
    <w:p w:rsidR="003879E2" w:rsidRPr="002E1852" w:rsidRDefault="003879E2" w:rsidP="00703C08">
      <w:pPr>
        <w:spacing w:after="0" w:line="240" w:lineRule="auto"/>
        <w:ind w:firstLine="709"/>
        <w:jc w:val="both"/>
        <w:rPr>
          <w:rFonts w:ascii="Times New Roman" w:hAnsi="Times New Roman"/>
          <w:sz w:val="24"/>
          <w:szCs w:val="24"/>
          <w:lang w:val="uk-UA"/>
        </w:rPr>
      </w:pPr>
    </w:p>
    <w:p w:rsidR="003879E2" w:rsidRPr="002E1852" w:rsidRDefault="003879E2" w:rsidP="00703C08">
      <w:pPr>
        <w:spacing w:after="0" w:line="240" w:lineRule="auto"/>
        <w:ind w:firstLine="709"/>
        <w:jc w:val="both"/>
        <w:rPr>
          <w:rFonts w:ascii="Times New Roman" w:hAnsi="Times New Roman"/>
          <w:sz w:val="24"/>
          <w:szCs w:val="24"/>
          <w:lang w:val="uk-UA" w:eastAsia="ru-RU"/>
        </w:rPr>
      </w:pPr>
      <w:r w:rsidRPr="002E1852">
        <w:rPr>
          <w:rFonts w:ascii="Times New Roman" w:hAnsi="Times New Roman"/>
          <w:sz w:val="24"/>
          <w:szCs w:val="24"/>
          <w:lang w:val="uk-UA" w:eastAsia="ru-RU"/>
        </w:rPr>
        <w:t>Порівняльний аналіз традиційних та інноваційних підходів у консалтингу свідчить про суттєву трансформацію галузі відповідно до викликів сучасного ринку. Традиційний консалтинг переважно ґрунтується на офлайн-комунікації, стандартизованих форматах взаємодії та орієнтації на великий бізнес. Натомість сучасний, диверсифікований консалтинг відзначається гнучкістю, активним використанням цифрових технологій, орієнтацією на малий і середній бізнес, персоналізацією послуг і побудовою довгострокової цінності для клієнта.</w:t>
      </w:r>
    </w:p>
    <w:p w:rsidR="003879E2" w:rsidRPr="002E1852" w:rsidRDefault="003879E2" w:rsidP="00703C08">
      <w:pPr>
        <w:spacing w:after="0" w:line="240" w:lineRule="auto"/>
        <w:ind w:firstLine="709"/>
        <w:jc w:val="both"/>
        <w:rPr>
          <w:rFonts w:ascii="Times New Roman" w:hAnsi="Times New Roman"/>
          <w:sz w:val="24"/>
          <w:szCs w:val="24"/>
          <w:lang w:val="uk-UA" w:eastAsia="ru-RU"/>
        </w:rPr>
      </w:pPr>
      <w:r w:rsidRPr="002E1852">
        <w:rPr>
          <w:rFonts w:ascii="Times New Roman" w:hAnsi="Times New Roman"/>
          <w:sz w:val="24"/>
          <w:szCs w:val="24"/>
          <w:lang w:val="uk-UA" w:eastAsia="ru-RU"/>
        </w:rPr>
        <w:t>Інноваційні підходи дозволяють не лише підвищити ефективність надання консалтингових послуг, але й розширити аудиторію, запровадити нові бізнес-моделі (наприклад, підписка, платформенні сервіси), а також забезпечити інтеграцію з аналітичними інструментами та індивідуальними потребами клієнтів. Таким чином, для успішного виходу на польський ринок консалтинговим компаніям доцільно впроваджувати сучасні формати обслуговування, зберігаючи при цьому експертність і якість, притаманні класичному консалтингу.</w:t>
      </w:r>
    </w:p>
    <w:p w:rsidR="003879E2" w:rsidRPr="002E1852" w:rsidRDefault="003879E2" w:rsidP="00DF0C41">
      <w:pPr>
        <w:spacing w:after="0" w:line="240" w:lineRule="auto"/>
        <w:ind w:firstLine="709"/>
        <w:jc w:val="both"/>
        <w:rPr>
          <w:rFonts w:ascii="Times New Roman" w:hAnsi="Times New Roman"/>
          <w:sz w:val="24"/>
          <w:szCs w:val="24"/>
          <w:lang w:val="uk-UA" w:eastAsia="ru-RU"/>
        </w:rPr>
      </w:pPr>
      <w:r w:rsidRPr="002E1852">
        <w:rPr>
          <w:rFonts w:ascii="Times New Roman" w:hAnsi="Times New Roman"/>
          <w:bCs/>
          <w:sz w:val="24"/>
          <w:szCs w:val="24"/>
          <w:lang w:val="uk-UA" w:eastAsia="ru-RU"/>
        </w:rPr>
        <w:t>Розглянемо можливості для розвитку диверсифікованого консалтингу в Польщі.</w:t>
      </w:r>
    </w:p>
    <w:p w:rsidR="003879E2" w:rsidRPr="002E1852" w:rsidRDefault="003879E2" w:rsidP="002448DB">
      <w:pPr>
        <w:spacing w:after="0" w:line="240" w:lineRule="auto"/>
        <w:ind w:firstLine="709"/>
        <w:jc w:val="both"/>
        <w:rPr>
          <w:rFonts w:ascii="Times New Roman" w:hAnsi="Times New Roman"/>
          <w:sz w:val="24"/>
          <w:szCs w:val="24"/>
          <w:lang w:val="uk-UA" w:eastAsia="ru-RU"/>
        </w:rPr>
      </w:pPr>
      <w:r w:rsidRPr="002E1852">
        <w:rPr>
          <w:rFonts w:ascii="Times New Roman" w:hAnsi="Times New Roman"/>
          <w:sz w:val="24"/>
          <w:szCs w:val="24"/>
          <w:lang w:val="uk-UA" w:eastAsia="ru-RU"/>
        </w:rPr>
        <w:t>У сучасному польському ринковому середовищі існує широкий спектр можливостей для розвитку диверсифікованого консалтингу, особливо в умовах цифрової трансформації бізнесу, зростання інтересу до сталого розвитку, а також підвищення ролі людського капіталу та аналітики у прийнятті рішень. Розглянемо ключові напрями, які відкривають нові перспективи для консалтингових компаній у Польщі.</w:t>
      </w:r>
    </w:p>
    <w:p w:rsidR="003879E2" w:rsidRPr="002E1852" w:rsidRDefault="003879E2" w:rsidP="006A3DA1">
      <w:pPr>
        <w:pStyle w:val="ListParagraph"/>
        <w:numPr>
          <w:ilvl w:val="0"/>
          <w:numId w:val="1"/>
        </w:numPr>
        <w:tabs>
          <w:tab w:val="left" w:pos="1080"/>
        </w:tabs>
        <w:spacing w:after="0" w:line="240" w:lineRule="auto"/>
        <w:ind w:left="0" w:firstLine="709"/>
        <w:jc w:val="both"/>
        <w:rPr>
          <w:rFonts w:ascii="Times New Roman" w:hAnsi="Times New Roman"/>
          <w:sz w:val="24"/>
          <w:szCs w:val="24"/>
          <w:lang w:val="uk-UA" w:eastAsia="ru-RU"/>
        </w:rPr>
      </w:pPr>
      <w:r w:rsidRPr="002E1852">
        <w:rPr>
          <w:rFonts w:ascii="Times New Roman" w:hAnsi="Times New Roman"/>
          <w:bCs/>
          <w:sz w:val="24"/>
          <w:szCs w:val="24"/>
          <w:lang w:val="uk-UA" w:eastAsia="ru-RU"/>
        </w:rPr>
        <w:t>Цифрові формати консалтингу</w:t>
      </w:r>
      <w:r w:rsidRPr="002E1852">
        <w:rPr>
          <w:rFonts w:ascii="Times New Roman" w:hAnsi="Times New Roman"/>
          <w:sz w:val="24"/>
          <w:szCs w:val="24"/>
          <w:lang w:val="uk-UA" w:eastAsia="ru-RU"/>
        </w:rPr>
        <w:t xml:space="preserve"> набирають популярності серед польських підприємців, особливо представників малого та середнього бізнесу, які цінують швидкість, зручність і доступність. Онлайн-консультації через відеозустрічі, спеціалізовані платформені рішення для управління бізнес-процесами, інтеграція чат-ботів у клієнтське обслуговування дає змогу компаніям швидко отримувати якісні поради, мінімізуючи витрати часу й ресурсів. Застосування цифрових технологій розширює охоплення клієнтів і знижує бар’єри входу на ринок.</w:t>
      </w:r>
    </w:p>
    <w:p w:rsidR="003879E2" w:rsidRPr="002E1852" w:rsidRDefault="003879E2" w:rsidP="006A3DA1">
      <w:pPr>
        <w:pStyle w:val="ListParagraph"/>
        <w:numPr>
          <w:ilvl w:val="0"/>
          <w:numId w:val="1"/>
        </w:numPr>
        <w:tabs>
          <w:tab w:val="left" w:pos="1080"/>
        </w:tabs>
        <w:spacing w:after="0" w:line="240" w:lineRule="auto"/>
        <w:ind w:left="0" w:firstLine="709"/>
        <w:jc w:val="both"/>
        <w:rPr>
          <w:rFonts w:ascii="Times New Roman" w:hAnsi="Times New Roman"/>
          <w:sz w:val="24"/>
          <w:szCs w:val="24"/>
          <w:lang w:val="uk-UA" w:eastAsia="ru-RU"/>
        </w:rPr>
      </w:pPr>
      <w:r w:rsidRPr="002E1852">
        <w:rPr>
          <w:rFonts w:ascii="Times New Roman" w:hAnsi="Times New Roman"/>
          <w:bCs/>
          <w:sz w:val="24"/>
          <w:szCs w:val="24"/>
          <w:lang w:val="uk-UA" w:eastAsia="ru-RU"/>
        </w:rPr>
        <w:t>Еко-консалтинг</w:t>
      </w:r>
      <w:r w:rsidRPr="002E1852">
        <w:rPr>
          <w:rFonts w:ascii="Times New Roman" w:hAnsi="Times New Roman"/>
          <w:sz w:val="24"/>
          <w:szCs w:val="24"/>
          <w:lang w:val="uk-UA" w:eastAsia="ru-RU"/>
        </w:rPr>
        <w:t xml:space="preserve"> відкриває нові горизонти для компаній, які орієнтуються на довгострокову сталість та відповідальність. Польські підприємства дедалі частіше інтегрують принципи ESG (екологія, соціальна відповідальність, управління) у свою діяльність, що формує попит на відповідні консалтингові послуги. Це може включати розробку стратегій сталого розвитку, впровадження систем екологічного аудиту, консультування щодо скорочення вуглецевого сліду, а також створення звітності відповідно до міжнародних стандартів.</w:t>
      </w:r>
    </w:p>
    <w:p w:rsidR="003879E2" w:rsidRPr="002E1852" w:rsidRDefault="003879E2" w:rsidP="006A3DA1">
      <w:pPr>
        <w:pStyle w:val="ListParagraph"/>
        <w:numPr>
          <w:ilvl w:val="0"/>
          <w:numId w:val="1"/>
        </w:numPr>
        <w:tabs>
          <w:tab w:val="left" w:pos="1080"/>
        </w:tabs>
        <w:spacing w:after="0" w:line="240" w:lineRule="auto"/>
        <w:ind w:left="0" w:firstLine="709"/>
        <w:jc w:val="both"/>
        <w:rPr>
          <w:rFonts w:ascii="Times New Roman" w:hAnsi="Times New Roman"/>
          <w:sz w:val="24"/>
          <w:szCs w:val="24"/>
          <w:lang w:val="uk-UA" w:eastAsia="ru-RU"/>
        </w:rPr>
      </w:pPr>
      <w:r w:rsidRPr="002E1852">
        <w:rPr>
          <w:rFonts w:ascii="Times New Roman" w:hAnsi="Times New Roman"/>
          <w:bCs/>
          <w:sz w:val="24"/>
          <w:szCs w:val="24"/>
          <w:lang w:val="uk-UA" w:eastAsia="ru-RU"/>
        </w:rPr>
        <w:t>Аналітичні рішення</w:t>
      </w:r>
      <w:r w:rsidRPr="002E1852">
        <w:rPr>
          <w:rFonts w:ascii="Times New Roman" w:hAnsi="Times New Roman"/>
          <w:sz w:val="24"/>
          <w:szCs w:val="24"/>
          <w:lang w:val="uk-UA" w:eastAsia="ru-RU"/>
        </w:rPr>
        <w:t xml:space="preserve"> стають незамінним інструментом для компаній, які прагнуть приймати зважені стратегічні рішення. Використання автоматизованих інструментів для збору й обробки клієнтських даних, побудова прогнозних моделей, візуалізація ключових показників ефективності дозволяє клієнтам глибше розуміти власний бізнес і ринок. Консалтингові компанії, які пропонують такі рішення, здатні створити реальну додану вартість і затвердити себе в ролі надійних технологічних партнерів.</w:t>
      </w:r>
    </w:p>
    <w:p w:rsidR="003879E2" w:rsidRPr="002E1852" w:rsidRDefault="003879E2" w:rsidP="006A3DA1">
      <w:pPr>
        <w:pStyle w:val="ListParagraph"/>
        <w:numPr>
          <w:ilvl w:val="0"/>
          <w:numId w:val="1"/>
        </w:numPr>
        <w:tabs>
          <w:tab w:val="left" w:pos="1080"/>
        </w:tabs>
        <w:spacing w:after="0" w:line="240" w:lineRule="auto"/>
        <w:ind w:left="0" w:firstLine="709"/>
        <w:jc w:val="both"/>
        <w:rPr>
          <w:rFonts w:ascii="Times New Roman" w:hAnsi="Times New Roman"/>
          <w:sz w:val="24"/>
          <w:szCs w:val="24"/>
          <w:lang w:val="uk-UA" w:eastAsia="ru-RU"/>
        </w:rPr>
      </w:pPr>
      <w:r w:rsidRPr="002E1852">
        <w:rPr>
          <w:rFonts w:ascii="Times New Roman" w:hAnsi="Times New Roman"/>
          <w:bCs/>
          <w:sz w:val="24"/>
          <w:szCs w:val="24"/>
          <w:lang w:val="uk-UA" w:eastAsia="ru-RU"/>
        </w:rPr>
        <w:t>Навчальні платформи</w:t>
      </w:r>
      <w:r w:rsidRPr="002E1852">
        <w:rPr>
          <w:rFonts w:ascii="Times New Roman" w:hAnsi="Times New Roman"/>
          <w:sz w:val="24"/>
          <w:szCs w:val="24"/>
          <w:lang w:val="uk-UA" w:eastAsia="ru-RU"/>
        </w:rPr>
        <w:t xml:space="preserve"> – ще один перспективний напрям, особливо з урахуванням потреб малого й середнього бізнесу в гнучкому та прикладному навчанні. Розвиток мікронавчання, інтерактивних курсів, онлайн-симуляцій управлінських ситуацій дозволяє компаніям навчати персонал без відриву від виробничих процесів. У Польщі спостерігається попит на програми, орієнтовані на підвищення кваліфікації керівників, розвиток softskills і практичне освоєння сучасних управлінських підходів.</w:t>
      </w:r>
    </w:p>
    <w:p w:rsidR="003879E2" w:rsidRPr="00C7254E" w:rsidRDefault="003879E2" w:rsidP="002448DB">
      <w:pPr>
        <w:spacing w:after="0" w:line="240" w:lineRule="auto"/>
        <w:ind w:firstLine="709"/>
        <w:jc w:val="both"/>
        <w:rPr>
          <w:rFonts w:ascii="Times New Roman" w:hAnsi="Times New Roman"/>
          <w:sz w:val="24"/>
          <w:szCs w:val="24"/>
          <w:lang w:eastAsia="ru-RU"/>
        </w:rPr>
      </w:pPr>
      <w:r w:rsidRPr="002E1852">
        <w:rPr>
          <w:rFonts w:ascii="Times New Roman" w:hAnsi="Times New Roman"/>
          <w:sz w:val="24"/>
          <w:szCs w:val="24"/>
          <w:lang w:val="uk-UA" w:eastAsia="ru-RU"/>
        </w:rPr>
        <w:t>Отже, польський ринок відкриває численні можливості для тих консалтингових компаній, які готові до інновацій, персоналізації та впровадження цифрових підходів. Успіх у цьому середовищі залежить від здатності поєднати технології, глибоку галузеву експертизу та чутливість до локального контексту.</w:t>
      </w:r>
    </w:p>
    <w:p w:rsidR="003879E2" w:rsidRPr="00C7254E" w:rsidRDefault="003879E2" w:rsidP="002448DB">
      <w:pPr>
        <w:spacing w:after="0" w:line="240" w:lineRule="auto"/>
        <w:ind w:firstLine="709"/>
        <w:jc w:val="both"/>
        <w:rPr>
          <w:rFonts w:ascii="Times New Roman" w:hAnsi="Times New Roman"/>
          <w:sz w:val="24"/>
          <w:szCs w:val="24"/>
          <w:lang w:eastAsia="ru-RU"/>
        </w:rPr>
      </w:pPr>
    </w:p>
    <w:p w:rsidR="003879E2" w:rsidRPr="002E1852" w:rsidRDefault="003879E2" w:rsidP="0018768F">
      <w:pPr>
        <w:spacing w:after="0" w:line="240" w:lineRule="auto"/>
        <w:ind w:firstLine="709"/>
        <w:jc w:val="center"/>
        <w:rPr>
          <w:rFonts w:ascii="Times New Roman" w:hAnsi="Times New Roman"/>
          <w:b/>
          <w:sz w:val="24"/>
          <w:lang w:val="uk-UA"/>
        </w:rPr>
      </w:pPr>
      <w:r w:rsidRPr="002E1852">
        <w:rPr>
          <w:rFonts w:ascii="Times New Roman" w:hAnsi="Times New Roman"/>
          <w:b/>
          <w:sz w:val="24"/>
          <w:szCs w:val="24"/>
          <w:lang w:val="uk-UA"/>
        </w:rPr>
        <w:t>Список літератури</w:t>
      </w:r>
    </w:p>
    <w:p w:rsidR="003879E2" w:rsidRPr="002E1852" w:rsidRDefault="003879E2" w:rsidP="00B10AB9">
      <w:pPr>
        <w:numPr>
          <w:ilvl w:val="0"/>
          <w:numId w:val="4"/>
        </w:numPr>
        <w:tabs>
          <w:tab w:val="clear" w:pos="1276"/>
          <w:tab w:val="left" w:pos="-3960"/>
        </w:tabs>
        <w:spacing w:after="0" w:line="240" w:lineRule="auto"/>
        <w:ind w:left="720" w:hanging="360"/>
        <w:jc w:val="both"/>
        <w:rPr>
          <w:rFonts w:ascii="Times New Roman" w:hAnsi="Times New Roman"/>
          <w:sz w:val="24"/>
          <w:szCs w:val="24"/>
          <w:lang w:val="uk-UA"/>
        </w:rPr>
      </w:pPr>
      <w:r w:rsidRPr="002E1852">
        <w:rPr>
          <w:rFonts w:ascii="Times New Roman" w:hAnsi="Times New Roman"/>
          <w:sz w:val="24"/>
          <w:szCs w:val="24"/>
          <w:lang w:val="uk-UA"/>
        </w:rPr>
        <w:t xml:space="preserve">Васильків М.В. Тактичні механізми та засоби розвитку консалтингу в системі зовнішньоекономічної діяльності транскордонного регіону. </w:t>
      </w:r>
      <w:r w:rsidRPr="002E1852">
        <w:rPr>
          <w:rFonts w:ascii="Times New Roman" w:hAnsi="Times New Roman"/>
          <w:i/>
          <w:sz w:val="24"/>
          <w:szCs w:val="24"/>
          <w:lang w:val="uk-UA"/>
        </w:rPr>
        <w:t>Науковий журнал: Вісник Хмельницького національного університету</w:t>
      </w:r>
      <w:r w:rsidRPr="002E1852">
        <w:rPr>
          <w:rFonts w:ascii="Times New Roman" w:hAnsi="Times New Roman"/>
          <w:sz w:val="24"/>
          <w:szCs w:val="24"/>
          <w:lang w:val="uk-UA"/>
        </w:rPr>
        <w:t>. 2014. №4 (1). С. 171-175.</w:t>
      </w:r>
    </w:p>
    <w:p w:rsidR="003879E2" w:rsidRPr="002E1852" w:rsidRDefault="003879E2" w:rsidP="00B10AB9">
      <w:pPr>
        <w:numPr>
          <w:ilvl w:val="0"/>
          <w:numId w:val="4"/>
        </w:numPr>
        <w:tabs>
          <w:tab w:val="clear" w:pos="1276"/>
          <w:tab w:val="left" w:pos="-3960"/>
        </w:tabs>
        <w:spacing w:after="0" w:line="240" w:lineRule="auto"/>
        <w:ind w:left="720" w:hanging="360"/>
        <w:jc w:val="both"/>
        <w:rPr>
          <w:rFonts w:ascii="Times New Roman" w:hAnsi="Times New Roman"/>
          <w:sz w:val="24"/>
          <w:szCs w:val="24"/>
          <w:lang w:val="uk-UA"/>
        </w:rPr>
      </w:pPr>
      <w:r w:rsidRPr="002E1852">
        <w:rPr>
          <w:rFonts w:ascii="Times New Roman" w:hAnsi="Times New Roman"/>
          <w:sz w:val="24"/>
          <w:szCs w:val="24"/>
          <w:lang w:val="uk-UA"/>
        </w:rPr>
        <w:t xml:space="preserve">Легкий В.І. Етапи оцінки конкурентоспроможності компанії та види стратегій її підвищення. </w:t>
      </w:r>
      <w:r w:rsidRPr="002E1852">
        <w:rPr>
          <w:rFonts w:ascii="Times New Roman" w:hAnsi="Times New Roman"/>
          <w:i/>
          <w:sz w:val="24"/>
          <w:szCs w:val="24"/>
          <w:lang w:val="uk-UA"/>
        </w:rPr>
        <w:t>Науково-інформаційний вісник «Економіка»</w:t>
      </w:r>
      <w:r w:rsidRPr="002E1852">
        <w:rPr>
          <w:rFonts w:ascii="Times New Roman" w:hAnsi="Times New Roman"/>
          <w:sz w:val="24"/>
          <w:szCs w:val="24"/>
          <w:lang w:val="uk-UA"/>
        </w:rPr>
        <w:t>. 2015. №11. С. 267-273.</w:t>
      </w:r>
    </w:p>
    <w:p w:rsidR="003879E2" w:rsidRPr="002E1852" w:rsidRDefault="003879E2" w:rsidP="00B10AB9">
      <w:pPr>
        <w:numPr>
          <w:ilvl w:val="0"/>
          <w:numId w:val="4"/>
        </w:numPr>
        <w:tabs>
          <w:tab w:val="clear" w:pos="1276"/>
          <w:tab w:val="left" w:pos="-3960"/>
        </w:tabs>
        <w:spacing w:after="0" w:line="240" w:lineRule="auto"/>
        <w:ind w:left="720" w:hanging="360"/>
        <w:jc w:val="both"/>
        <w:rPr>
          <w:rFonts w:ascii="Times New Roman" w:hAnsi="Times New Roman"/>
          <w:sz w:val="24"/>
          <w:szCs w:val="24"/>
          <w:lang w:val="uk-UA"/>
        </w:rPr>
      </w:pPr>
      <w:r w:rsidRPr="002E1852">
        <w:rPr>
          <w:rFonts w:ascii="Times New Roman" w:hAnsi="Times New Roman"/>
          <w:sz w:val="24"/>
          <w:szCs w:val="24"/>
          <w:lang w:val="uk-UA"/>
        </w:rPr>
        <w:t xml:space="preserve">Бельтюков Є.А. Конкурента стратегія компанії: сутність та формування на основі оцінки рівня конкурентоспроможності. </w:t>
      </w:r>
      <w:r w:rsidRPr="002E1852">
        <w:rPr>
          <w:rFonts w:ascii="Times New Roman" w:hAnsi="Times New Roman"/>
          <w:i/>
          <w:sz w:val="24"/>
          <w:szCs w:val="24"/>
          <w:lang w:val="uk-UA"/>
        </w:rPr>
        <w:t>Економіка: реалії часу</w:t>
      </w:r>
      <w:r w:rsidRPr="002E1852">
        <w:rPr>
          <w:rFonts w:ascii="Times New Roman" w:hAnsi="Times New Roman"/>
          <w:sz w:val="24"/>
          <w:szCs w:val="24"/>
          <w:lang w:val="uk-UA"/>
        </w:rPr>
        <w:t>. 2014. С. 6-13.</w:t>
      </w:r>
    </w:p>
    <w:p w:rsidR="003879E2" w:rsidRPr="001179EF" w:rsidRDefault="003879E2" w:rsidP="00B10AB9">
      <w:pPr>
        <w:numPr>
          <w:ilvl w:val="0"/>
          <w:numId w:val="4"/>
        </w:numPr>
        <w:tabs>
          <w:tab w:val="clear" w:pos="1276"/>
          <w:tab w:val="left" w:pos="-3960"/>
        </w:tabs>
        <w:spacing w:after="0" w:line="240" w:lineRule="auto"/>
        <w:ind w:left="720" w:hanging="360"/>
        <w:jc w:val="both"/>
        <w:rPr>
          <w:rFonts w:ascii="Times New Roman" w:hAnsi="Times New Roman"/>
          <w:color w:val="333333"/>
          <w:spacing w:val="3"/>
          <w:sz w:val="24"/>
          <w:szCs w:val="24"/>
          <w:lang w:val="uk-UA"/>
        </w:rPr>
      </w:pPr>
      <w:r w:rsidRPr="002E1852">
        <w:rPr>
          <w:rFonts w:ascii="Times New Roman" w:hAnsi="Times New Roman"/>
          <w:color w:val="333333"/>
          <w:spacing w:val="3"/>
          <w:sz w:val="24"/>
          <w:szCs w:val="24"/>
          <w:lang w:val="uk-UA"/>
        </w:rPr>
        <w:t xml:space="preserve">Ковтун О.А. Основні підходи до визначення цілей та типів диверсифікації виробництва. </w:t>
      </w:r>
      <w:r w:rsidRPr="002E1852">
        <w:rPr>
          <w:rFonts w:ascii="Times New Roman" w:hAnsi="Times New Roman"/>
          <w:i/>
          <w:color w:val="333333"/>
          <w:spacing w:val="3"/>
          <w:sz w:val="24"/>
          <w:szCs w:val="24"/>
          <w:lang w:val="uk-UA"/>
        </w:rPr>
        <w:t>Інвести</w:t>
      </w:r>
      <w:bookmarkStart w:id="0" w:name="_GoBack"/>
      <w:bookmarkEnd w:id="0"/>
      <w:r w:rsidRPr="002E1852">
        <w:rPr>
          <w:rFonts w:ascii="Times New Roman" w:hAnsi="Times New Roman"/>
          <w:i/>
          <w:color w:val="333333"/>
          <w:spacing w:val="3"/>
          <w:sz w:val="24"/>
          <w:szCs w:val="24"/>
          <w:lang w:val="uk-UA"/>
        </w:rPr>
        <w:t>ції: практика та досвід</w:t>
      </w:r>
      <w:r w:rsidRPr="002E1852">
        <w:rPr>
          <w:rFonts w:ascii="Times New Roman" w:hAnsi="Times New Roman"/>
          <w:color w:val="333333"/>
          <w:spacing w:val="3"/>
          <w:sz w:val="24"/>
          <w:szCs w:val="24"/>
          <w:lang w:val="uk-UA"/>
        </w:rPr>
        <w:t>. 2007. №22. С. 35-38.</w:t>
      </w:r>
    </w:p>
    <w:p w:rsidR="003879E2" w:rsidRPr="00B10AB9" w:rsidRDefault="003879E2" w:rsidP="001179EF">
      <w:pPr>
        <w:spacing w:after="0" w:line="240" w:lineRule="auto"/>
        <w:ind w:left="709"/>
        <w:jc w:val="both"/>
        <w:rPr>
          <w:lang w:val="uk-UA"/>
        </w:rPr>
      </w:pPr>
    </w:p>
    <w:sectPr w:rsidR="003879E2" w:rsidRPr="00B10AB9" w:rsidSect="00C7254E">
      <w:headerReference w:type="even" r:id="rId7"/>
      <w:headerReference w:type="default" r:id="rId8"/>
      <w:footerReference w:type="even" r:id="rId9"/>
      <w:footerReference w:type="default" r:id="rId10"/>
      <w:pgSz w:w="11906" w:h="16838"/>
      <w:pgMar w:top="1134" w:right="1134" w:bottom="1134" w:left="1134" w:header="709" w:footer="709" w:gutter="0"/>
      <w:pgNumType w:start="9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E2" w:rsidRDefault="003879E2">
      <w:r>
        <w:separator/>
      </w:r>
    </w:p>
  </w:endnote>
  <w:endnote w:type="continuationSeparator" w:id="1">
    <w:p w:rsidR="003879E2" w:rsidRDefault="0038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2" w:rsidRDefault="003879E2" w:rsidP="003D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79E2" w:rsidRDefault="003879E2" w:rsidP="00C725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2" w:rsidRDefault="003879E2" w:rsidP="003D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rsidR="003879E2" w:rsidRDefault="003879E2" w:rsidP="00C725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E2" w:rsidRDefault="003879E2">
      <w:r>
        <w:separator/>
      </w:r>
    </w:p>
  </w:footnote>
  <w:footnote w:type="continuationSeparator" w:id="1">
    <w:p w:rsidR="003879E2" w:rsidRDefault="00387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2" w:rsidRDefault="003879E2" w:rsidP="003D1F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79E2" w:rsidRDefault="003879E2" w:rsidP="00C7254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9E2" w:rsidRPr="00C7254E" w:rsidRDefault="003879E2" w:rsidP="00C7254E">
    <w:pPr>
      <w:tabs>
        <w:tab w:val="left" w:pos="690"/>
        <w:tab w:val="center" w:pos="4677"/>
        <w:tab w:val="right" w:pos="9355"/>
      </w:tabs>
      <w:ind w:right="360"/>
      <w:jc w:val="center"/>
      <w:rPr>
        <w:rFonts w:ascii="Times New Roman" w:hAnsi="Times New Roman"/>
        <w:lang w:val="uk-UA"/>
      </w:rPr>
    </w:pPr>
    <w:r w:rsidRPr="00C7254E">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F77"/>
    <w:multiLevelType w:val="hybridMultilevel"/>
    <w:tmpl w:val="922E737A"/>
    <w:lvl w:ilvl="0" w:tplc="81004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404752A"/>
    <w:multiLevelType w:val="hybridMultilevel"/>
    <w:tmpl w:val="2A764326"/>
    <w:lvl w:ilvl="0" w:tplc="A4AAB988">
      <w:start w:val="1"/>
      <w:numFmt w:val="decimal"/>
      <w:lvlText w:val="%1."/>
      <w:lvlJc w:val="left"/>
      <w:pPr>
        <w:tabs>
          <w:tab w:val="num" w:pos="1276"/>
        </w:tabs>
        <w:ind w:left="1276" w:hanging="397"/>
      </w:pPr>
      <w:rPr>
        <w:rFonts w:cs="Times New Roman" w:hint="default"/>
        <w:b w:val="0"/>
        <w:sz w:val="24"/>
        <w:szCs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0152CC2"/>
    <w:multiLevelType w:val="multilevel"/>
    <w:tmpl w:val="7C3EC6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6E742A8"/>
    <w:multiLevelType w:val="hybridMultilevel"/>
    <w:tmpl w:val="DD244B1C"/>
    <w:lvl w:ilvl="0" w:tplc="0DE440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20F"/>
    <w:rsid w:val="0006089C"/>
    <w:rsid w:val="000F7601"/>
    <w:rsid w:val="001179EF"/>
    <w:rsid w:val="0018768F"/>
    <w:rsid w:val="002448DB"/>
    <w:rsid w:val="002E1852"/>
    <w:rsid w:val="003300A2"/>
    <w:rsid w:val="003879E2"/>
    <w:rsid w:val="003D1F0A"/>
    <w:rsid w:val="004F017D"/>
    <w:rsid w:val="004F2E67"/>
    <w:rsid w:val="005227DE"/>
    <w:rsid w:val="00572554"/>
    <w:rsid w:val="00675677"/>
    <w:rsid w:val="006836DB"/>
    <w:rsid w:val="00694429"/>
    <w:rsid w:val="006A3DA1"/>
    <w:rsid w:val="006E6E5B"/>
    <w:rsid w:val="00703C08"/>
    <w:rsid w:val="00712A71"/>
    <w:rsid w:val="00720BD8"/>
    <w:rsid w:val="00743DC1"/>
    <w:rsid w:val="007A4ABB"/>
    <w:rsid w:val="007B7BF6"/>
    <w:rsid w:val="00A56FB7"/>
    <w:rsid w:val="00AD7EF5"/>
    <w:rsid w:val="00B10AB9"/>
    <w:rsid w:val="00BB745B"/>
    <w:rsid w:val="00BC649F"/>
    <w:rsid w:val="00C12E2F"/>
    <w:rsid w:val="00C3420F"/>
    <w:rsid w:val="00C7254E"/>
    <w:rsid w:val="00CA3EE8"/>
    <w:rsid w:val="00D01556"/>
    <w:rsid w:val="00D02BFD"/>
    <w:rsid w:val="00D412C0"/>
    <w:rsid w:val="00DB1792"/>
    <w:rsid w:val="00DF0C41"/>
    <w:rsid w:val="00E2723F"/>
    <w:rsid w:val="00E502FA"/>
    <w:rsid w:val="00EF70AB"/>
    <w:rsid w:val="00FA7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92"/>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uiPriority w:val="99"/>
    <w:rsid w:val="00D02BFD"/>
    <w:rPr>
      <w:rFonts w:cs="Times New Roman"/>
    </w:rPr>
  </w:style>
  <w:style w:type="character" w:styleId="Strong">
    <w:name w:val="Strong"/>
    <w:basedOn w:val="DefaultParagraphFont"/>
    <w:uiPriority w:val="99"/>
    <w:qFormat/>
    <w:rsid w:val="00D02BFD"/>
    <w:rPr>
      <w:rFonts w:cs="Times New Roman"/>
      <w:b/>
      <w:bCs/>
    </w:rPr>
  </w:style>
  <w:style w:type="table" w:styleId="TableGrid">
    <w:name w:val="Table Grid"/>
    <w:basedOn w:val="TableNormal"/>
    <w:uiPriority w:val="99"/>
    <w:rsid w:val="00D02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448DB"/>
    <w:pPr>
      <w:ind w:left="720"/>
      <w:contextualSpacing/>
    </w:pPr>
  </w:style>
  <w:style w:type="paragraph" w:styleId="NormalWeb">
    <w:name w:val="Normal (Web)"/>
    <w:basedOn w:val="Normal"/>
    <w:uiPriority w:val="99"/>
    <w:semiHidden/>
    <w:rsid w:val="001179EF"/>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C7254E"/>
    <w:pPr>
      <w:tabs>
        <w:tab w:val="center" w:pos="4677"/>
        <w:tab w:val="right" w:pos="9355"/>
      </w:tabs>
    </w:pPr>
  </w:style>
  <w:style w:type="character" w:customStyle="1" w:styleId="HeaderChar">
    <w:name w:val="Header Char"/>
    <w:basedOn w:val="DefaultParagraphFont"/>
    <w:link w:val="Header"/>
    <w:uiPriority w:val="99"/>
    <w:semiHidden/>
    <w:rsid w:val="005503CE"/>
    <w:rPr>
      <w:lang w:val="ru-RU"/>
    </w:rPr>
  </w:style>
  <w:style w:type="character" w:styleId="PageNumber">
    <w:name w:val="page number"/>
    <w:basedOn w:val="DefaultParagraphFont"/>
    <w:uiPriority w:val="99"/>
    <w:rsid w:val="00C7254E"/>
    <w:rPr>
      <w:rFonts w:cs="Times New Roman"/>
    </w:rPr>
  </w:style>
  <w:style w:type="paragraph" w:styleId="Footer">
    <w:name w:val="footer"/>
    <w:basedOn w:val="Normal"/>
    <w:link w:val="FooterChar"/>
    <w:uiPriority w:val="99"/>
    <w:rsid w:val="00C7254E"/>
    <w:pPr>
      <w:tabs>
        <w:tab w:val="center" w:pos="4677"/>
        <w:tab w:val="right" w:pos="9355"/>
      </w:tabs>
    </w:pPr>
  </w:style>
  <w:style w:type="character" w:customStyle="1" w:styleId="FooterChar">
    <w:name w:val="Footer Char"/>
    <w:basedOn w:val="DefaultParagraphFont"/>
    <w:link w:val="Footer"/>
    <w:uiPriority w:val="99"/>
    <w:semiHidden/>
    <w:rsid w:val="005503CE"/>
    <w:rPr>
      <w:lang w:val="ru-RU"/>
    </w:rPr>
  </w:style>
</w:styles>
</file>

<file path=word/webSettings.xml><?xml version="1.0" encoding="utf-8"?>
<w:webSettings xmlns:r="http://schemas.openxmlformats.org/officeDocument/2006/relationships" xmlns:w="http://schemas.openxmlformats.org/wordprocessingml/2006/main">
  <w:divs>
    <w:div w:id="922446664">
      <w:marLeft w:val="0"/>
      <w:marRight w:val="0"/>
      <w:marTop w:val="0"/>
      <w:marBottom w:val="0"/>
      <w:divBdr>
        <w:top w:val="none" w:sz="0" w:space="0" w:color="auto"/>
        <w:left w:val="none" w:sz="0" w:space="0" w:color="auto"/>
        <w:bottom w:val="none" w:sz="0" w:space="0" w:color="auto"/>
        <w:right w:val="none" w:sz="0" w:space="0" w:color="auto"/>
      </w:divBdr>
    </w:div>
    <w:div w:id="922446665">
      <w:marLeft w:val="0"/>
      <w:marRight w:val="0"/>
      <w:marTop w:val="0"/>
      <w:marBottom w:val="0"/>
      <w:divBdr>
        <w:top w:val="none" w:sz="0" w:space="0" w:color="auto"/>
        <w:left w:val="none" w:sz="0" w:space="0" w:color="auto"/>
        <w:bottom w:val="none" w:sz="0" w:space="0" w:color="auto"/>
        <w:right w:val="none" w:sz="0" w:space="0" w:color="auto"/>
      </w:divBdr>
    </w:div>
    <w:div w:id="922446666">
      <w:marLeft w:val="0"/>
      <w:marRight w:val="0"/>
      <w:marTop w:val="0"/>
      <w:marBottom w:val="0"/>
      <w:divBdr>
        <w:top w:val="none" w:sz="0" w:space="0" w:color="auto"/>
        <w:left w:val="none" w:sz="0" w:space="0" w:color="auto"/>
        <w:bottom w:val="none" w:sz="0" w:space="0" w:color="auto"/>
        <w:right w:val="none" w:sz="0" w:space="0" w:color="auto"/>
      </w:divBdr>
    </w:div>
    <w:div w:id="922446667">
      <w:marLeft w:val="0"/>
      <w:marRight w:val="0"/>
      <w:marTop w:val="0"/>
      <w:marBottom w:val="0"/>
      <w:divBdr>
        <w:top w:val="none" w:sz="0" w:space="0" w:color="auto"/>
        <w:left w:val="none" w:sz="0" w:space="0" w:color="auto"/>
        <w:bottom w:val="none" w:sz="0" w:space="0" w:color="auto"/>
        <w:right w:val="none" w:sz="0" w:space="0" w:color="auto"/>
      </w:divBdr>
    </w:div>
    <w:div w:id="922446668">
      <w:marLeft w:val="0"/>
      <w:marRight w:val="0"/>
      <w:marTop w:val="0"/>
      <w:marBottom w:val="0"/>
      <w:divBdr>
        <w:top w:val="none" w:sz="0" w:space="0" w:color="auto"/>
        <w:left w:val="none" w:sz="0" w:space="0" w:color="auto"/>
        <w:bottom w:val="none" w:sz="0" w:space="0" w:color="auto"/>
        <w:right w:val="none" w:sz="0" w:space="0" w:color="auto"/>
      </w:divBdr>
    </w:div>
    <w:div w:id="922446669">
      <w:marLeft w:val="0"/>
      <w:marRight w:val="0"/>
      <w:marTop w:val="0"/>
      <w:marBottom w:val="0"/>
      <w:divBdr>
        <w:top w:val="none" w:sz="0" w:space="0" w:color="auto"/>
        <w:left w:val="none" w:sz="0" w:space="0" w:color="auto"/>
        <w:bottom w:val="none" w:sz="0" w:space="0" w:color="auto"/>
        <w:right w:val="none" w:sz="0" w:space="0" w:color="auto"/>
      </w:divBdr>
    </w:div>
    <w:div w:id="922446670">
      <w:marLeft w:val="0"/>
      <w:marRight w:val="0"/>
      <w:marTop w:val="0"/>
      <w:marBottom w:val="0"/>
      <w:divBdr>
        <w:top w:val="none" w:sz="0" w:space="0" w:color="auto"/>
        <w:left w:val="none" w:sz="0" w:space="0" w:color="auto"/>
        <w:bottom w:val="none" w:sz="0" w:space="0" w:color="auto"/>
        <w:right w:val="none" w:sz="0" w:space="0" w:color="auto"/>
      </w:divBdr>
    </w:div>
    <w:div w:id="922446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1350</Words>
  <Characters>7695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СТРАТЕГІЇ ДИВЕРСИФІКАЦІЇ КОНСАЛТИНГОВИХ ПОСЛУГ ПРИ ВИХОДІ НА ПОЛЬСЬКИЙ РИНОК: ВИКЛИКИ ТА МОЖЛИВОСТІ</dc:title>
  <dc:subject/>
  <dc:creator>ASPIRE</dc:creator>
  <cp:keywords/>
  <dc:description/>
  <cp:lastModifiedBy>Пользователь Windows</cp:lastModifiedBy>
  <cp:revision>2</cp:revision>
  <dcterms:created xsi:type="dcterms:W3CDTF">2025-06-02T07:21:00Z</dcterms:created>
  <dcterms:modified xsi:type="dcterms:W3CDTF">2025-06-02T07:21:00Z</dcterms:modified>
</cp:coreProperties>
</file>